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7C58C" w14:textId="77777777" w:rsidR="00E87A15" w:rsidRDefault="00E87A15">
      <w:r w:rsidRPr="00E87A15">
        <w:rPr>
          <w:noProof/>
        </w:rPr>
        <w:drawing>
          <wp:inline distT="0" distB="0" distL="0" distR="0" wp14:anchorId="03DF808E" wp14:editId="07BCDC4D">
            <wp:extent cx="1630680" cy="640042"/>
            <wp:effectExtent l="0" t="0" r="0" b="0"/>
            <wp:docPr id="5" name="Picture 4" descr="A picture containing drawing, clock&#10;&#10;Description automatically generated">
              <a:extLst xmlns:a="http://schemas.openxmlformats.org/drawingml/2006/main">
                <a:ext uri="{FF2B5EF4-FFF2-40B4-BE49-F238E27FC236}">
                  <a16:creationId xmlns:a16="http://schemas.microsoft.com/office/drawing/2014/main" id="{79B96DBF-8B49-1843-B3FF-8D70A065E0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9B96DBF-8B49-1843-B3FF-8D70A065E0BE}"/>
                        </a:ext>
                      </a:extLst>
                    </pic:cNvPr>
                    <pic:cNvPicPr>
                      <a:picLocks noChangeAspect="1"/>
                    </pic:cNvPicPr>
                  </pic:nvPicPr>
                  <pic:blipFill>
                    <a:blip r:embed="rId5"/>
                    <a:stretch>
                      <a:fillRect/>
                    </a:stretch>
                  </pic:blipFill>
                  <pic:spPr>
                    <a:xfrm>
                      <a:off x="0" y="0"/>
                      <a:ext cx="1662100" cy="652375"/>
                    </a:xfrm>
                    <a:prstGeom prst="rect">
                      <a:avLst/>
                    </a:prstGeom>
                  </pic:spPr>
                </pic:pic>
              </a:graphicData>
            </a:graphic>
          </wp:inline>
        </w:drawing>
      </w:r>
      <w:r w:rsidRPr="00E87A15">
        <w:t xml:space="preserve"> </w:t>
      </w:r>
    </w:p>
    <w:p w14:paraId="01E278FE" w14:textId="77777777" w:rsidR="00E87A15" w:rsidRDefault="00E87A15"/>
    <w:p w14:paraId="5E886E5E" w14:textId="45D437DC" w:rsidR="00FF65AC" w:rsidRDefault="00E87A15">
      <w:r>
        <w:t xml:space="preserve">Read out from </w:t>
      </w:r>
      <w:r w:rsidR="00A2019C">
        <w:t xml:space="preserve">Michael Gove </w:t>
      </w:r>
      <w:hyperlink r:id="rId6" w:history="1">
        <w:r w:rsidR="003E3F0F" w:rsidRPr="003E3F0F">
          <w:rPr>
            <w:rStyle w:val="Hyperlink"/>
          </w:rPr>
          <w:t>a</w:t>
        </w:r>
        <w:r w:rsidR="00A2019C" w:rsidRPr="003E3F0F">
          <w:rPr>
            <w:rStyle w:val="Hyperlink"/>
          </w:rPr>
          <w:t xml:space="preserve">nnouncement </w:t>
        </w:r>
        <w:r w:rsidR="003E3F0F" w:rsidRPr="003E3F0F">
          <w:rPr>
            <w:rStyle w:val="Hyperlink"/>
          </w:rPr>
          <w:t>on Fri</w:t>
        </w:r>
        <w:r w:rsidR="00A2019C" w:rsidRPr="003E3F0F">
          <w:rPr>
            <w:rStyle w:val="Hyperlink"/>
          </w:rPr>
          <w:t>day</w:t>
        </w:r>
        <w:r w:rsidR="003E3F0F" w:rsidRPr="003E3F0F">
          <w:rPr>
            <w:rStyle w:val="Hyperlink"/>
          </w:rPr>
          <w:t xml:space="preserve"> 12</w:t>
        </w:r>
        <w:r w:rsidR="003E3F0F" w:rsidRPr="003E3F0F">
          <w:rPr>
            <w:rStyle w:val="Hyperlink"/>
            <w:vertAlign w:val="superscript"/>
          </w:rPr>
          <w:t>th</w:t>
        </w:r>
        <w:r w:rsidR="003E3F0F" w:rsidRPr="003E3F0F">
          <w:rPr>
            <w:rStyle w:val="Hyperlink"/>
          </w:rPr>
          <w:t xml:space="preserve"> June</w:t>
        </w:r>
      </w:hyperlink>
      <w:r w:rsidR="00A2019C">
        <w:t xml:space="preserve"> on full border controls</w:t>
      </w:r>
      <w:r w:rsidR="00A05E1F">
        <w:t xml:space="preserve"> from 1/1/21</w:t>
      </w:r>
    </w:p>
    <w:p w14:paraId="3DD713E0" w14:textId="7F224AA5" w:rsidR="00A2019C" w:rsidRDefault="00A2019C"/>
    <w:p w14:paraId="39140D9A" w14:textId="77777777" w:rsidR="00BF12C0" w:rsidRPr="007C2FC6" w:rsidRDefault="00BF12C0">
      <w:pPr>
        <w:rPr>
          <w:b/>
          <w:bCs/>
        </w:rPr>
      </w:pPr>
      <w:r w:rsidRPr="007C2FC6">
        <w:rPr>
          <w:b/>
          <w:bCs/>
        </w:rPr>
        <w:t>Headlines</w:t>
      </w:r>
    </w:p>
    <w:p w14:paraId="53F5A827" w14:textId="6FA9487D"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 xml:space="preserve">Introduction of full </w:t>
      </w:r>
      <w:r>
        <w:rPr>
          <w:rFonts w:ascii="Calibri" w:eastAsia="Times New Roman" w:hAnsi="Calibri" w:cs="Calibri"/>
          <w:color w:val="000000"/>
          <w:lang w:eastAsia="en-GB"/>
        </w:rPr>
        <w:t xml:space="preserve">border </w:t>
      </w:r>
      <w:r w:rsidRPr="00BF12C0">
        <w:rPr>
          <w:rFonts w:ascii="Calibri" w:eastAsia="Times New Roman" w:hAnsi="Calibri" w:cs="Calibri"/>
          <w:color w:val="000000"/>
          <w:lang w:eastAsia="en-GB"/>
        </w:rPr>
        <w:t xml:space="preserve">controls </w:t>
      </w:r>
      <w:r>
        <w:rPr>
          <w:rFonts w:ascii="Calibri" w:eastAsia="Times New Roman" w:hAnsi="Calibri" w:cs="Calibri"/>
          <w:color w:val="000000"/>
          <w:lang w:eastAsia="en-GB"/>
        </w:rPr>
        <w:t xml:space="preserve">for EU imports </w:t>
      </w:r>
      <w:r w:rsidRPr="00BF12C0">
        <w:rPr>
          <w:rFonts w:ascii="Calibri" w:eastAsia="Times New Roman" w:hAnsi="Calibri" w:cs="Calibri"/>
          <w:color w:val="000000"/>
          <w:lang w:eastAsia="en-GB"/>
        </w:rPr>
        <w:t>from 1/1/21</w:t>
      </w:r>
    </w:p>
    <w:p w14:paraId="1240D403" w14:textId="0A2B480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 xml:space="preserve">Delay of </w:t>
      </w:r>
      <w:r>
        <w:rPr>
          <w:rFonts w:ascii="Calibri" w:eastAsia="Times New Roman" w:hAnsi="Calibri" w:cs="Calibri"/>
          <w:color w:val="000000"/>
          <w:lang w:eastAsia="en-GB"/>
        </w:rPr>
        <w:t>D</w:t>
      </w:r>
      <w:r w:rsidRPr="00BF12C0">
        <w:rPr>
          <w:rFonts w:ascii="Calibri" w:eastAsia="Times New Roman" w:hAnsi="Calibri" w:cs="Calibri"/>
          <w:color w:val="000000"/>
          <w:lang w:eastAsia="en-GB"/>
        </w:rPr>
        <w:t>uty and Vat payments for imports for up to 6 months</w:t>
      </w:r>
    </w:p>
    <w:p w14:paraId="5C122385" w14:textId="7777777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Safety &amp; Security on imports will be waived for first 6 months</w:t>
      </w:r>
    </w:p>
    <w:p w14:paraId="3EE99A81" w14:textId="7777777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Full customs controls from 1/7/21</w:t>
      </w:r>
    </w:p>
    <w:p w14:paraId="22D92400" w14:textId="7777777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Exception is for controlled goods that will have full controls from 1/1/21</w:t>
      </w:r>
    </w:p>
    <w:p w14:paraId="7F46E55E" w14:textId="7777777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Build new Govt infrastructure at ports and inland</w:t>
      </w:r>
    </w:p>
    <w:p w14:paraId="5DDA5164" w14:textId="77777777" w:rsidR="00BF12C0" w:rsidRPr="00BF12C0" w:rsidRDefault="00BF12C0" w:rsidP="00BF12C0">
      <w:pPr>
        <w:pStyle w:val="ListParagraph"/>
        <w:numPr>
          <w:ilvl w:val="0"/>
          <w:numId w:val="2"/>
        </w:numPr>
        <w:shd w:val="clear" w:color="auto" w:fill="FFFFFF"/>
        <w:textAlignment w:val="baseline"/>
        <w:rPr>
          <w:rFonts w:ascii="Calibri" w:eastAsia="Times New Roman" w:hAnsi="Calibri" w:cs="Calibri"/>
          <w:color w:val="000000"/>
          <w:lang w:eastAsia="en-GB"/>
        </w:rPr>
      </w:pPr>
      <w:r w:rsidRPr="00BF12C0">
        <w:rPr>
          <w:rFonts w:ascii="Calibri" w:eastAsia="Times New Roman" w:hAnsi="Calibri" w:cs="Calibri"/>
          <w:color w:val="000000"/>
          <w:lang w:eastAsia="en-GB"/>
        </w:rPr>
        <w:t>New arrangements only apply to imports from the EU</w:t>
      </w:r>
    </w:p>
    <w:p w14:paraId="1A1148FC" w14:textId="77777777" w:rsidR="00BF12C0" w:rsidRDefault="00BF12C0"/>
    <w:p w14:paraId="619686B6" w14:textId="515A8E48" w:rsidR="00A2019C" w:rsidRPr="00DC3D63" w:rsidRDefault="00A2019C">
      <w:pPr>
        <w:rPr>
          <w:b/>
          <w:bCs/>
        </w:rPr>
      </w:pPr>
      <w:r w:rsidRPr="00DC3D63">
        <w:rPr>
          <w:b/>
          <w:bCs/>
        </w:rPr>
        <w:t>What does this mean for traders?</w:t>
      </w:r>
    </w:p>
    <w:p w14:paraId="73854E31" w14:textId="5C15A41C" w:rsidR="00A2019C" w:rsidRDefault="00A2019C"/>
    <w:p w14:paraId="4545BF2E" w14:textId="22AE9B03" w:rsidR="00A2019C" w:rsidRDefault="00A2019C">
      <w:r>
        <w:t xml:space="preserve">The current arrangements relating to goods </w:t>
      </w:r>
      <w:r w:rsidR="003E3F0F">
        <w:t xml:space="preserve">being imported from or exported to </w:t>
      </w:r>
      <w:r>
        <w:t xml:space="preserve">the rest of the world </w:t>
      </w:r>
      <w:r w:rsidR="00BF12C0">
        <w:t xml:space="preserve">(ROW) </w:t>
      </w:r>
      <w:r>
        <w:t xml:space="preserve">will </w:t>
      </w:r>
      <w:r w:rsidR="003E3F0F">
        <w:t>apply</w:t>
      </w:r>
      <w:r>
        <w:t xml:space="preserve"> as they </w:t>
      </w:r>
      <w:r w:rsidR="003E3F0F">
        <w:t>do</w:t>
      </w:r>
      <w:r>
        <w:t xml:space="preserve"> today</w:t>
      </w:r>
      <w:r w:rsidR="003E3F0F">
        <w:t>, with a few exceptions</w:t>
      </w:r>
      <w:r>
        <w:t>.</w:t>
      </w:r>
      <w:r w:rsidR="003E3F0F">
        <w:t xml:space="preserve">  For goods being exported to the EU after 31/12/20, a full export declaration will need to be made just as they are now for goods being exported to the ROW.  The most significant change in today’s announcement relates to the imposition of full controls on goods being imported from the EU after 31/12/20.  That means that unlike today, when we continue to be part of the customs union, goods arriving from the EU will need to be declared at import and duty and VAT dues on the goods will need to be accounted for and paid.</w:t>
      </w:r>
    </w:p>
    <w:p w14:paraId="48CCBDD1" w14:textId="719AE3E6" w:rsidR="00A2019C" w:rsidRDefault="00A2019C"/>
    <w:p w14:paraId="0145D5B0" w14:textId="77777777" w:rsidR="003E3F0F" w:rsidRDefault="00A2019C" w:rsidP="00A2019C">
      <w:r>
        <w:t xml:space="preserve">From 1/1/21, traders will </w:t>
      </w:r>
      <w:r w:rsidR="003E3F0F">
        <w:t xml:space="preserve">either </w:t>
      </w:r>
    </w:p>
    <w:p w14:paraId="3BFF91A9" w14:textId="77777777" w:rsidR="003E3F0F" w:rsidRDefault="003E3F0F" w:rsidP="00A2019C"/>
    <w:p w14:paraId="4CBA2DD7" w14:textId="724D7FCF" w:rsidR="009B20A9" w:rsidRDefault="003E3F0F" w:rsidP="003E3F0F">
      <w:pPr>
        <w:pStyle w:val="ListParagraph"/>
        <w:numPr>
          <w:ilvl w:val="0"/>
          <w:numId w:val="5"/>
        </w:numPr>
        <w:rPr>
          <w:rFonts w:ascii="Calibri" w:eastAsia="Times New Roman" w:hAnsi="Calibri" w:cs="Calibri"/>
          <w:color w:val="000000"/>
          <w:lang w:eastAsia="en-GB"/>
        </w:rPr>
      </w:pPr>
      <w:r>
        <w:t>M</w:t>
      </w:r>
      <w:r w:rsidRPr="003E3F0F">
        <w:rPr>
          <w:rFonts w:ascii="Calibri" w:eastAsia="Times New Roman" w:hAnsi="Calibri" w:cs="Calibri"/>
          <w:color w:val="000000"/>
          <w:lang w:eastAsia="en-GB"/>
        </w:rPr>
        <w:t xml:space="preserve">ake a full customs declaration for all </w:t>
      </w:r>
      <w:r w:rsidR="00A2019C" w:rsidRPr="003E3F0F">
        <w:rPr>
          <w:rFonts w:ascii="Calibri" w:eastAsia="Times New Roman" w:hAnsi="Calibri" w:cs="Calibri"/>
          <w:color w:val="000000"/>
          <w:lang w:eastAsia="en-GB"/>
        </w:rPr>
        <w:t>of imports</w:t>
      </w:r>
      <w:r w:rsidRPr="003E3F0F">
        <w:rPr>
          <w:rFonts w:ascii="Calibri" w:eastAsia="Times New Roman" w:hAnsi="Calibri" w:cs="Calibri"/>
          <w:color w:val="000000"/>
          <w:lang w:eastAsia="en-GB"/>
        </w:rPr>
        <w:t xml:space="preserve"> </w:t>
      </w:r>
      <w:r w:rsidR="009B20A9">
        <w:rPr>
          <w:rFonts w:ascii="Calibri" w:eastAsia="Times New Roman" w:hAnsi="Calibri" w:cs="Calibri"/>
          <w:color w:val="000000"/>
          <w:lang w:eastAsia="en-GB"/>
        </w:rPr>
        <w:t>regardless of country of export, paying any duty due.  Postponed VAT Accounting (PVA) will be available for VTA registered companies from 1/1/21, so any VAT will become due for payment on the next VAT return.  Or;</w:t>
      </w:r>
    </w:p>
    <w:p w14:paraId="18ED4728" w14:textId="370035A6" w:rsidR="00A2019C" w:rsidRPr="009B20A9" w:rsidRDefault="009B20A9" w:rsidP="00F420E9">
      <w:pPr>
        <w:pStyle w:val="ListParagraph"/>
        <w:numPr>
          <w:ilvl w:val="0"/>
          <w:numId w:val="5"/>
        </w:numPr>
      </w:pPr>
      <w:r>
        <w:t>M</w:t>
      </w:r>
      <w:r w:rsidRPr="009B20A9">
        <w:rPr>
          <w:rFonts w:ascii="Calibri" w:eastAsia="Times New Roman" w:hAnsi="Calibri" w:cs="Calibri"/>
          <w:color w:val="000000"/>
          <w:lang w:eastAsia="en-GB"/>
        </w:rPr>
        <w:t xml:space="preserve">ake a full customs declaration for all of imports from the ROW, and then </w:t>
      </w:r>
      <w:r>
        <w:rPr>
          <w:rFonts w:ascii="Calibri" w:eastAsia="Times New Roman" w:hAnsi="Calibri" w:cs="Calibri"/>
          <w:color w:val="000000"/>
          <w:lang w:eastAsia="en-GB"/>
        </w:rPr>
        <w:t xml:space="preserve">separately </w:t>
      </w:r>
      <w:r w:rsidRPr="009B20A9">
        <w:rPr>
          <w:rFonts w:ascii="Calibri" w:eastAsia="Times New Roman" w:hAnsi="Calibri" w:cs="Calibri"/>
          <w:color w:val="000000"/>
          <w:lang w:eastAsia="en-GB"/>
        </w:rPr>
        <w:t xml:space="preserve">maintain a record of all imports from the EU </w:t>
      </w:r>
      <w:r w:rsidR="003E3F0F" w:rsidRPr="009B20A9">
        <w:rPr>
          <w:rFonts w:ascii="Calibri" w:eastAsia="Times New Roman" w:hAnsi="Calibri" w:cs="Calibri"/>
          <w:color w:val="000000"/>
          <w:lang w:eastAsia="en-GB"/>
        </w:rPr>
        <w:t xml:space="preserve">for a period of </w:t>
      </w:r>
      <w:r w:rsidRPr="009B20A9">
        <w:rPr>
          <w:rFonts w:ascii="Calibri" w:eastAsia="Times New Roman" w:hAnsi="Calibri" w:cs="Calibri"/>
          <w:color w:val="000000"/>
          <w:lang w:eastAsia="en-GB"/>
        </w:rPr>
        <w:t xml:space="preserve">up to </w:t>
      </w:r>
      <w:r w:rsidR="003E3F0F" w:rsidRPr="009B20A9">
        <w:rPr>
          <w:rFonts w:ascii="Calibri" w:eastAsia="Times New Roman" w:hAnsi="Calibri" w:cs="Calibri"/>
          <w:color w:val="000000"/>
          <w:lang w:eastAsia="en-GB"/>
        </w:rPr>
        <w:t>6 months</w:t>
      </w:r>
      <w:r w:rsidRPr="009B20A9">
        <w:rPr>
          <w:rFonts w:ascii="Calibri" w:eastAsia="Times New Roman" w:hAnsi="Calibri" w:cs="Calibri"/>
          <w:color w:val="000000"/>
          <w:lang w:eastAsia="en-GB"/>
        </w:rPr>
        <w:t xml:space="preserve">, after which they can declare the imports to HMRC in a summary </w:t>
      </w:r>
      <w:r>
        <w:rPr>
          <w:rFonts w:ascii="Calibri" w:eastAsia="Times New Roman" w:hAnsi="Calibri" w:cs="Calibri"/>
          <w:color w:val="000000"/>
          <w:lang w:eastAsia="en-GB"/>
        </w:rPr>
        <w:t xml:space="preserve">import </w:t>
      </w:r>
      <w:r w:rsidRPr="009B20A9">
        <w:rPr>
          <w:rFonts w:ascii="Calibri" w:eastAsia="Times New Roman" w:hAnsi="Calibri" w:cs="Calibri"/>
          <w:color w:val="000000"/>
          <w:lang w:eastAsia="en-GB"/>
        </w:rPr>
        <w:t>declaration and pay any duty and VAT due</w:t>
      </w:r>
      <w:r>
        <w:rPr>
          <w:rFonts w:ascii="Calibri" w:eastAsia="Times New Roman" w:hAnsi="Calibri" w:cs="Calibri"/>
          <w:color w:val="000000"/>
          <w:lang w:eastAsia="en-GB"/>
        </w:rPr>
        <w:t xml:space="preserve"> at that time.</w:t>
      </w:r>
    </w:p>
    <w:p w14:paraId="07234824" w14:textId="77777777" w:rsidR="009B20A9" w:rsidRDefault="009B20A9" w:rsidP="00A2019C">
      <w:pPr>
        <w:textAlignment w:val="baseline"/>
        <w:rPr>
          <w:rFonts w:ascii="Calibri" w:eastAsia="Times New Roman" w:hAnsi="Calibri" w:cs="Calibri"/>
          <w:color w:val="000000"/>
          <w:bdr w:val="none" w:sz="0" w:space="0" w:color="auto" w:frame="1"/>
          <w:lang w:eastAsia="en-GB"/>
        </w:rPr>
      </w:pPr>
    </w:p>
    <w:p w14:paraId="0AB5D150" w14:textId="3D29B1FF" w:rsidR="00A2019C" w:rsidRDefault="00A2019C" w:rsidP="00A2019C">
      <w:pPr>
        <w:textAlignment w:val="baseline"/>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Traders</w:t>
      </w:r>
      <w:r w:rsidR="009B20A9">
        <w:rPr>
          <w:rFonts w:ascii="Calibri" w:eastAsia="Times New Roman" w:hAnsi="Calibri" w:cs="Calibri"/>
          <w:color w:val="000000"/>
          <w:bdr w:val="none" w:sz="0" w:space="0" w:color="auto" w:frame="1"/>
          <w:lang w:eastAsia="en-GB"/>
        </w:rPr>
        <w:t xml:space="preserve"> that opt to use the up to 6-month grace period</w:t>
      </w:r>
      <w:r>
        <w:rPr>
          <w:rFonts w:ascii="Calibri" w:eastAsia="Times New Roman" w:hAnsi="Calibri" w:cs="Calibri"/>
          <w:color w:val="000000"/>
          <w:bdr w:val="none" w:sz="0" w:space="0" w:color="auto" w:frame="1"/>
          <w:lang w:eastAsia="en-GB"/>
        </w:rPr>
        <w:t xml:space="preserve"> </w:t>
      </w:r>
      <w:r w:rsidR="007C2FC6">
        <w:rPr>
          <w:rFonts w:ascii="Calibri" w:eastAsia="Times New Roman" w:hAnsi="Calibri" w:cs="Calibri"/>
          <w:color w:val="000000"/>
          <w:bdr w:val="none" w:sz="0" w:space="0" w:color="auto" w:frame="1"/>
          <w:lang w:eastAsia="en-GB"/>
        </w:rPr>
        <w:t>are likely to</w:t>
      </w:r>
      <w:r>
        <w:rPr>
          <w:rFonts w:ascii="Calibri" w:eastAsia="Times New Roman" w:hAnsi="Calibri" w:cs="Calibri"/>
          <w:color w:val="000000"/>
          <w:bdr w:val="none" w:sz="0" w:space="0" w:color="auto" w:frame="1"/>
          <w:lang w:eastAsia="en-GB"/>
        </w:rPr>
        <w:t xml:space="preserve"> be</w:t>
      </w:r>
      <w:r w:rsidRPr="00A2019C">
        <w:rPr>
          <w:rFonts w:ascii="Calibri" w:eastAsia="Times New Roman" w:hAnsi="Calibri" w:cs="Calibri"/>
          <w:color w:val="000000"/>
          <w:bdr w:val="none" w:sz="0" w:space="0" w:color="auto" w:frame="1"/>
          <w:lang w:eastAsia="en-GB"/>
        </w:rPr>
        <w:t xml:space="preserve"> asked to record</w:t>
      </w:r>
      <w:r>
        <w:rPr>
          <w:rFonts w:ascii="Calibri" w:eastAsia="Times New Roman" w:hAnsi="Calibri" w:cs="Calibri"/>
          <w:color w:val="000000"/>
          <w:bdr w:val="none" w:sz="0" w:space="0" w:color="auto" w:frame="1"/>
          <w:lang w:eastAsia="en-GB"/>
        </w:rPr>
        <w:t xml:space="preserve"> information such as</w:t>
      </w:r>
      <w:r w:rsidRPr="00A2019C">
        <w:rPr>
          <w:rFonts w:ascii="Calibri" w:eastAsia="Times New Roman" w:hAnsi="Calibri" w:cs="Calibri"/>
          <w:color w:val="000000"/>
          <w:bdr w:val="none" w:sz="0" w:space="0" w:color="auto" w:frame="1"/>
          <w:lang w:eastAsia="en-GB"/>
        </w:rPr>
        <w:t>:</w:t>
      </w:r>
    </w:p>
    <w:p w14:paraId="039E5370" w14:textId="77777777" w:rsidR="007C2FC6" w:rsidRPr="00A2019C" w:rsidRDefault="007C2FC6" w:rsidP="00A2019C">
      <w:pPr>
        <w:textAlignment w:val="baseline"/>
        <w:rPr>
          <w:rFonts w:ascii="Calibri" w:eastAsia="Times New Roman" w:hAnsi="Calibri" w:cs="Calibri"/>
          <w:color w:val="000000"/>
          <w:lang w:eastAsia="en-GB"/>
        </w:rPr>
      </w:pPr>
    </w:p>
    <w:p w14:paraId="7C2B9C43" w14:textId="27286CF8" w:rsidR="00A2019C" w:rsidRPr="00A2019C" w:rsidRDefault="009B20A9"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Pr>
          <w:rFonts w:ascii="Calibri" w:eastAsia="Times New Roman" w:hAnsi="Calibri" w:cs="Calibri"/>
          <w:color w:val="000000"/>
          <w:bdr w:val="none" w:sz="0" w:space="0" w:color="auto" w:frame="1"/>
          <w:lang w:eastAsia="en-GB"/>
        </w:rPr>
        <w:t>The</w:t>
      </w:r>
      <w:r w:rsidR="00A2019C">
        <w:rPr>
          <w:rFonts w:ascii="Calibri" w:eastAsia="Times New Roman" w:hAnsi="Calibri" w:cs="Calibri"/>
          <w:color w:val="000000"/>
          <w:bdr w:val="none" w:sz="0" w:space="0" w:color="auto" w:frame="1"/>
          <w:lang w:eastAsia="en-GB"/>
        </w:rPr>
        <w:t xml:space="preserve"> </w:t>
      </w:r>
      <w:r w:rsidR="00A2019C" w:rsidRPr="00A2019C">
        <w:rPr>
          <w:rFonts w:ascii="Calibri" w:eastAsia="Times New Roman" w:hAnsi="Calibri" w:cs="Calibri"/>
          <w:color w:val="000000"/>
          <w:bdr w:val="none" w:sz="0" w:space="0" w:color="auto" w:frame="1"/>
          <w:lang w:eastAsia="en-GB"/>
        </w:rPr>
        <w:t>unique reference number for the consignment</w:t>
      </w:r>
    </w:p>
    <w:p w14:paraId="3016AB01" w14:textId="77777777"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a description of the goods and the </w:t>
      </w:r>
      <w:hyperlink r:id="rId7" w:history="1">
        <w:r w:rsidRPr="00A2019C">
          <w:rPr>
            <w:rFonts w:ascii="Calibri" w:eastAsia="Times New Roman" w:hAnsi="Calibri" w:cs="Calibri"/>
            <w:color w:val="000000"/>
            <w:u w:val="single"/>
            <w:bdr w:val="none" w:sz="0" w:space="0" w:color="auto" w:frame="1"/>
            <w:lang w:eastAsia="en-GB"/>
          </w:rPr>
          <w:t>commodity code</w:t>
        </w:r>
      </w:hyperlink>
    </w:p>
    <w:p w14:paraId="70AB1828" w14:textId="12B3EC18"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the quantity imported</w:t>
      </w:r>
    </w:p>
    <w:p w14:paraId="6ECAABB7" w14:textId="77777777"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purchase and (if available) sales invoice numbers</w:t>
      </w:r>
    </w:p>
    <w:p w14:paraId="702A8EFA" w14:textId="77777777"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the </w:t>
      </w:r>
      <w:hyperlink r:id="rId8" w:history="1">
        <w:r w:rsidRPr="00A2019C">
          <w:rPr>
            <w:rFonts w:ascii="Calibri" w:eastAsia="Times New Roman" w:hAnsi="Calibri" w:cs="Calibri"/>
            <w:color w:val="000000"/>
            <w:u w:val="single"/>
            <w:bdr w:val="none" w:sz="0" w:space="0" w:color="auto" w:frame="1"/>
            <w:lang w:eastAsia="en-GB"/>
          </w:rPr>
          <w:t>customs value</w:t>
        </w:r>
      </w:hyperlink>
    </w:p>
    <w:p w14:paraId="2BBC04A2" w14:textId="77777777"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lastRenderedPageBreak/>
        <w:t>delivery details</w:t>
      </w:r>
    </w:p>
    <w:p w14:paraId="670A7F69" w14:textId="77777777"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supplier emails</w:t>
      </w:r>
    </w:p>
    <w:p w14:paraId="5442F542" w14:textId="77777777" w:rsid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serial numbers of any certificates or licenses</w:t>
      </w:r>
    </w:p>
    <w:p w14:paraId="1BDB7FE7" w14:textId="27C7D1B3" w:rsidR="00A2019C" w:rsidRPr="00A2019C" w:rsidRDefault="00A2019C" w:rsidP="00A2019C">
      <w:pPr>
        <w:numPr>
          <w:ilvl w:val="0"/>
          <w:numId w:val="1"/>
        </w:numPr>
        <w:shd w:val="clear" w:color="auto" w:fill="FFFFFF"/>
        <w:ind w:left="300"/>
        <w:textAlignment w:val="baseline"/>
        <w:rPr>
          <w:rFonts w:ascii="Arial" w:eastAsia="Times New Roman" w:hAnsi="Arial" w:cs="Arial"/>
          <w:color w:val="0B0C0C"/>
          <w:sz w:val="29"/>
          <w:szCs w:val="29"/>
          <w:lang w:eastAsia="en-GB"/>
        </w:rPr>
      </w:pPr>
      <w:r w:rsidRPr="00A2019C">
        <w:rPr>
          <w:rFonts w:ascii="Calibri" w:eastAsia="Times New Roman" w:hAnsi="Calibri" w:cs="Calibri"/>
          <w:color w:val="000000"/>
          <w:bdr w:val="none" w:sz="0" w:space="0" w:color="auto" w:frame="1"/>
          <w:lang w:eastAsia="en-GB"/>
        </w:rPr>
        <w:t>records with the date and approximate time the goods arrived in the UK</w:t>
      </w:r>
    </w:p>
    <w:p w14:paraId="37C48902" w14:textId="77777777" w:rsidR="00A2019C" w:rsidRPr="00A2019C" w:rsidRDefault="00A2019C" w:rsidP="00A2019C">
      <w:pPr>
        <w:shd w:val="clear" w:color="auto" w:fill="FFFFFF"/>
        <w:ind w:left="300"/>
        <w:textAlignment w:val="baseline"/>
        <w:rPr>
          <w:rFonts w:ascii="Arial" w:eastAsia="Times New Roman" w:hAnsi="Arial" w:cs="Arial"/>
          <w:color w:val="0B0C0C"/>
          <w:sz w:val="29"/>
          <w:szCs w:val="29"/>
          <w:lang w:eastAsia="en-GB"/>
        </w:rPr>
      </w:pPr>
    </w:p>
    <w:p w14:paraId="4EC67179" w14:textId="023ACE95" w:rsidR="00A2019C" w:rsidRDefault="00A2019C" w:rsidP="00A2019C">
      <w:pPr>
        <w:shd w:val="clear" w:color="auto" w:fill="FFFFFF"/>
        <w:textAlignment w:val="baseline"/>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Traders will</w:t>
      </w:r>
      <w:r w:rsidRPr="00A2019C">
        <w:rPr>
          <w:rFonts w:ascii="Calibri" w:eastAsia="Times New Roman" w:hAnsi="Calibri" w:cs="Calibri"/>
          <w:color w:val="000000"/>
          <w:bdr w:val="none" w:sz="0" w:space="0" w:color="auto" w:frame="1"/>
          <w:lang w:eastAsia="en-GB"/>
        </w:rPr>
        <w:t xml:space="preserve"> need </w:t>
      </w:r>
      <w:r w:rsidR="009B20A9">
        <w:rPr>
          <w:rFonts w:ascii="Calibri" w:eastAsia="Times New Roman" w:hAnsi="Calibri" w:cs="Calibri"/>
          <w:color w:val="000000"/>
          <w:bdr w:val="none" w:sz="0" w:space="0" w:color="auto" w:frame="1"/>
          <w:lang w:eastAsia="en-GB"/>
        </w:rPr>
        <w:t xml:space="preserve">this information when they </w:t>
      </w:r>
      <w:r w:rsidRPr="00A2019C">
        <w:rPr>
          <w:rFonts w:ascii="Calibri" w:eastAsia="Times New Roman" w:hAnsi="Calibri" w:cs="Calibri"/>
          <w:color w:val="000000"/>
          <w:bdr w:val="none" w:sz="0" w:space="0" w:color="auto" w:frame="1"/>
          <w:lang w:eastAsia="en-GB"/>
        </w:rPr>
        <w:t xml:space="preserve">submit a supplementary declaration </w:t>
      </w:r>
      <w:r w:rsidR="009B20A9">
        <w:rPr>
          <w:rFonts w:ascii="Calibri" w:eastAsia="Times New Roman" w:hAnsi="Calibri" w:cs="Calibri"/>
          <w:color w:val="000000"/>
          <w:bdr w:val="none" w:sz="0" w:space="0" w:color="auto" w:frame="1"/>
          <w:lang w:eastAsia="en-GB"/>
        </w:rPr>
        <w:t xml:space="preserve">and </w:t>
      </w:r>
      <w:r w:rsidRPr="00A2019C">
        <w:rPr>
          <w:rFonts w:ascii="Calibri" w:eastAsia="Times New Roman" w:hAnsi="Calibri" w:cs="Calibri"/>
          <w:color w:val="000000"/>
          <w:bdr w:val="none" w:sz="0" w:space="0" w:color="auto" w:frame="1"/>
          <w:lang w:eastAsia="en-GB"/>
        </w:rPr>
        <w:t xml:space="preserve">after the goods enter the UK. </w:t>
      </w:r>
      <w:r w:rsidR="009B20A9">
        <w:rPr>
          <w:rFonts w:ascii="Calibri" w:eastAsia="Times New Roman" w:hAnsi="Calibri" w:cs="Calibri"/>
          <w:color w:val="000000"/>
          <w:bdr w:val="none" w:sz="0" w:space="0" w:color="auto" w:frame="1"/>
          <w:lang w:eastAsia="en-GB"/>
        </w:rPr>
        <w:t>This option will only apply to</w:t>
      </w:r>
      <w:r w:rsidR="00BF12C0" w:rsidRPr="00A2019C">
        <w:rPr>
          <w:rFonts w:ascii="Calibri" w:eastAsia="Times New Roman" w:hAnsi="Calibri" w:cs="Calibri"/>
          <w:color w:val="000000"/>
          <w:bdr w:val="none" w:sz="0" w:space="0" w:color="auto" w:frame="1"/>
          <w:lang w:eastAsia="en-GB"/>
        </w:rPr>
        <w:t xml:space="preserve"> standard goods</w:t>
      </w:r>
      <w:r w:rsidR="009B20A9">
        <w:rPr>
          <w:rFonts w:ascii="Calibri" w:eastAsia="Times New Roman" w:hAnsi="Calibri" w:cs="Calibri"/>
          <w:color w:val="000000"/>
          <w:bdr w:val="none" w:sz="0" w:space="0" w:color="auto" w:frame="1"/>
          <w:lang w:eastAsia="en-GB"/>
        </w:rPr>
        <w:t xml:space="preserve">.  </w:t>
      </w:r>
      <w:r w:rsidR="00E6211E">
        <w:rPr>
          <w:rFonts w:ascii="Calibri" w:eastAsia="Times New Roman" w:hAnsi="Calibri" w:cs="Calibri"/>
          <w:color w:val="000000"/>
          <w:bdr w:val="none" w:sz="0" w:space="0" w:color="auto" w:frame="1"/>
          <w:lang w:eastAsia="en-GB"/>
        </w:rPr>
        <w:t>We</w:t>
      </w:r>
      <w:r w:rsidR="00BF12C0">
        <w:rPr>
          <w:rFonts w:ascii="Calibri" w:eastAsia="Times New Roman" w:hAnsi="Calibri" w:cs="Calibri"/>
          <w:color w:val="000000"/>
          <w:bdr w:val="none" w:sz="0" w:space="0" w:color="auto" w:frame="1"/>
          <w:lang w:eastAsia="en-GB"/>
        </w:rPr>
        <w:t xml:space="preserve"> expect that </w:t>
      </w:r>
      <w:r w:rsidR="00E6211E">
        <w:rPr>
          <w:rFonts w:ascii="Calibri" w:eastAsia="Times New Roman" w:hAnsi="Calibri" w:cs="Calibri"/>
          <w:color w:val="000000"/>
          <w:bdr w:val="none" w:sz="0" w:space="0" w:color="auto" w:frame="1"/>
          <w:lang w:eastAsia="en-GB"/>
        </w:rPr>
        <w:t>traders</w:t>
      </w:r>
      <w:r w:rsidR="00BF12C0">
        <w:rPr>
          <w:rFonts w:ascii="Calibri" w:eastAsia="Times New Roman" w:hAnsi="Calibri" w:cs="Calibri"/>
          <w:color w:val="000000"/>
          <w:bdr w:val="none" w:sz="0" w:space="0" w:color="auto" w:frame="1"/>
          <w:lang w:eastAsia="en-GB"/>
        </w:rPr>
        <w:t xml:space="preserve"> will need to be VAT registered to access this </w:t>
      </w:r>
      <w:r w:rsidR="00E6211E">
        <w:rPr>
          <w:rFonts w:ascii="Calibri" w:eastAsia="Times New Roman" w:hAnsi="Calibri" w:cs="Calibri"/>
          <w:color w:val="000000"/>
          <w:bdr w:val="none" w:sz="0" w:space="0" w:color="auto" w:frame="1"/>
          <w:lang w:eastAsia="en-GB"/>
        </w:rPr>
        <w:t xml:space="preserve">payment </w:t>
      </w:r>
      <w:r w:rsidR="00BF12C0">
        <w:rPr>
          <w:rFonts w:ascii="Calibri" w:eastAsia="Times New Roman" w:hAnsi="Calibri" w:cs="Calibri"/>
          <w:color w:val="000000"/>
          <w:bdr w:val="none" w:sz="0" w:space="0" w:color="auto" w:frame="1"/>
          <w:lang w:eastAsia="en-GB"/>
        </w:rPr>
        <w:t xml:space="preserve">delay or have a deferment account in place, </w:t>
      </w:r>
      <w:r w:rsidR="009B20A9">
        <w:rPr>
          <w:rFonts w:ascii="Calibri" w:eastAsia="Times New Roman" w:hAnsi="Calibri" w:cs="Calibri"/>
          <w:color w:val="000000"/>
          <w:bdr w:val="none" w:sz="0" w:space="0" w:color="auto" w:frame="1"/>
          <w:lang w:eastAsia="en-GB"/>
        </w:rPr>
        <w:t xml:space="preserve">more </w:t>
      </w:r>
      <w:r w:rsidR="00E6211E">
        <w:rPr>
          <w:rFonts w:ascii="Calibri" w:eastAsia="Times New Roman" w:hAnsi="Calibri" w:cs="Calibri"/>
          <w:color w:val="000000"/>
          <w:bdr w:val="none" w:sz="0" w:space="0" w:color="auto" w:frame="1"/>
          <w:lang w:eastAsia="en-GB"/>
        </w:rPr>
        <w:t xml:space="preserve">detail is </w:t>
      </w:r>
      <w:r w:rsidR="009B20A9">
        <w:rPr>
          <w:rFonts w:ascii="Calibri" w:eastAsia="Times New Roman" w:hAnsi="Calibri" w:cs="Calibri"/>
          <w:color w:val="000000"/>
          <w:bdr w:val="none" w:sz="0" w:space="0" w:color="auto" w:frame="1"/>
          <w:lang w:eastAsia="en-GB"/>
        </w:rPr>
        <w:t>needed</w:t>
      </w:r>
      <w:r w:rsidR="00BF12C0">
        <w:rPr>
          <w:rFonts w:ascii="Calibri" w:eastAsia="Times New Roman" w:hAnsi="Calibri" w:cs="Calibri"/>
          <w:color w:val="000000"/>
          <w:bdr w:val="none" w:sz="0" w:space="0" w:color="auto" w:frame="1"/>
          <w:lang w:eastAsia="en-GB"/>
        </w:rPr>
        <w:t>.</w:t>
      </w:r>
    </w:p>
    <w:p w14:paraId="186C829F" w14:textId="15DBCE6E" w:rsidR="00BF12C0" w:rsidRDefault="00BF12C0" w:rsidP="00A2019C">
      <w:pPr>
        <w:shd w:val="clear" w:color="auto" w:fill="FFFFFF"/>
        <w:textAlignment w:val="baseline"/>
        <w:rPr>
          <w:rFonts w:ascii="Calibri" w:eastAsia="Times New Roman" w:hAnsi="Calibri" w:cs="Calibri"/>
          <w:color w:val="000000"/>
          <w:bdr w:val="none" w:sz="0" w:space="0" w:color="auto" w:frame="1"/>
          <w:lang w:eastAsia="en-GB"/>
        </w:rPr>
      </w:pPr>
    </w:p>
    <w:p w14:paraId="2C8AFC12" w14:textId="6930AC72" w:rsidR="00BF12C0" w:rsidRDefault="00BF12C0" w:rsidP="00A2019C">
      <w:pPr>
        <w:shd w:val="clear" w:color="auto" w:fill="FFFFFF"/>
        <w:textAlignment w:val="baseline"/>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For </w:t>
      </w:r>
      <w:r w:rsidRPr="00BF12C0">
        <w:rPr>
          <w:rFonts w:ascii="Calibri" w:eastAsia="Times New Roman" w:hAnsi="Calibri" w:cs="Calibri"/>
          <w:color w:val="000000"/>
          <w:bdr w:val="none" w:sz="0" w:space="0" w:color="auto" w:frame="1"/>
          <w:lang w:eastAsia="en-GB"/>
        </w:rPr>
        <w:t xml:space="preserve">Controlled and excise goods there will be no access to the </w:t>
      </w:r>
      <w:r>
        <w:rPr>
          <w:rFonts w:ascii="Calibri" w:eastAsia="Times New Roman" w:hAnsi="Calibri" w:cs="Calibri"/>
          <w:color w:val="000000"/>
          <w:bdr w:val="none" w:sz="0" w:space="0" w:color="auto" w:frame="1"/>
          <w:lang w:eastAsia="en-GB"/>
        </w:rPr>
        <w:t>6-</w:t>
      </w:r>
      <w:r w:rsidRPr="00BF12C0">
        <w:rPr>
          <w:rFonts w:ascii="Calibri" w:eastAsia="Times New Roman" w:hAnsi="Calibri" w:cs="Calibri"/>
          <w:color w:val="000000"/>
          <w:bdr w:val="none" w:sz="0" w:space="0" w:color="auto" w:frame="1"/>
          <w:lang w:eastAsia="en-GB"/>
        </w:rPr>
        <w:t xml:space="preserve">month delay </w:t>
      </w:r>
      <w:r>
        <w:rPr>
          <w:rFonts w:ascii="Calibri" w:eastAsia="Times New Roman" w:hAnsi="Calibri" w:cs="Calibri"/>
          <w:color w:val="000000"/>
          <w:bdr w:val="none" w:sz="0" w:space="0" w:color="auto" w:frame="1"/>
          <w:lang w:eastAsia="en-GB"/>
        </w:rPr>
        <w:t xml:space="preserve">in </w:t>
      </w:r>
      <w:r w:rsidR="009B20A9">
        <w:rPr>
          <w:rFonts w:ascii="Calibri" w:eastAsia="Times New Roman" w:hAnsi="Calibri" w:cs="Calibri"/>
          <w:color w:val="000000"/>
          <w:bdr w:val="none" w:sz="0" w:space="0" w:color="auto" w:frame="1"/>
          <w:lang w:eastAsia="en-GB"/>
        </w:rPr>
        <w:t xml:space="preserve">making </w:t>
      </w:r>
      <w:r w:rsidRPr="00BF12C0">
        <w:rPr>
          <w:rFonts w:ascii="Calibri" w:eastAsia="Times New Roman" w:hAnsi="Calibri" w:cs="Calibri"/>
          <w:color w:val="000000"/>
          <w:bdr w:val="none" w:sz="0" w:space="0" w:color="auto" w:frame="1"/>
          <w:lang w:eastAsia="en-GB"/>
        </w:rPr>
        <w:t xml:space="preserve">VAT and duty payments </w:t>
      </w:r>
      <w:r>
        <w:rPr>
          <w:rFonts w:ascii="Calibri" w:eastAsia="Times New Roman" w:hAnsi="Calibri" w:cs="Calibri"/>
          <w:color w:val="000000"/>
          <w:bdr w:val="none" w:sz="0" w:space="0" w:color="auto" w:frame="1"/>
          <w:lang w:eastAsia="en-GB"/>
        </w:rPr>
        <w:t xml:space="preserve">for goods entering the UK from the EU. </w:t>
      </w:r>
      <w:r w:rsidR="009B20A9">
        <w:rPr>
          <w:rFonts w:ascii="Calibri" w:eastAsia="Times New Roman" w:hAnsi="Calibri" w:cs="Calibri"/>
          <w:color w:val="000000"/>
          <w:bdr w:val="none" w:sz="0" w:space="0" w:color="auto" w:frame="1"/>
          <w:lang w:eastAsia="en-GB"/>
        </w:rPr>
        <w:t xml:space="preserve"> Sums</w:t>
      </w:r>
      <w:r>
        <w:rPr>
          <w:rFonts w:ascii="Calibri" w:eastAsia="Times New Roman" w:hAnsi="Calibri" w:cs="Calibri"/>
          <w:color w:val="000000"/>
          <w:bdr w:val="none" w:sz="0" w:space="0" w:color="auto" w:frame="1"/>
          <w:lang w:eastAsia="en-GB"/>
        </w:rPr>
        <w:t xml:space="preserve"> will </w:t>
      </w:r>
      <w:r w:rsidR="009B20A9">
        <w:rPr>
          <w:rFonts w:ascii="Calibri" w:eastAsia="Times New Roman" w:hAnsi="Calibri" w:cs="Calibri"/>
          <w:color w:val="000000"/>
          <w:bdr w:val="none" w:sz="0" w:space="0" w:color="auto" w:frame="1"/>
          <w:lang w:eastAsia="en-GB"/>
        </w:rPr>
        <w:t xml:space="preserve">become due </w:t>
      </w:r>
      <w:r w:rsidRPr="00BF12C0">
        <w:rPr>
          <w:rFonts w:ascii="Calibri" w:eastAsia="Times New Roman" w:hAnsi="Calibri" w:cs="Calibri"/>
          <w:color w:val="000000"/>
          <w:bdr w:val="none" w:sz="0" w:space="0" w:color="auto" w:frame="1"/>
          <w:lang w:eastAsia="en-GB"/>
        </w:rPr>
        <w:t xml:space="preserve">as they </w:t>
      </w:r>
      <w:r w:rsidR="009B20A9">
        <w:rPr>
          <w:rFonts w:ascii="Calibri" w:eastAsia="Times New Roman" w:hAnsi="Calibri" w:cs="Calibri"/>
          <w:color w:val="000000"/>
          <w:bdr w:val="none" w:sz="0" w:space="0" w:color="auto" w:frame="1"/>
          <w:lang w:eastAsia="en-GB"/>
        </w:rPr>
        <w:t>are</w:t>
      </w:r>
      <w:r w:rsidRPr="00BF12C0">
        <w:rPr>
          <w:rFonts w:ascii="Calibri" w:eastAsia="Times New Roman" w:hAnsi="Calibri" w:cs="Calibri"/>
          <w:color w:val="000000"/>
          <w:bdr w:val="none" w:sz="0" w:space="0" w:color="auto" w:frame="1"/>
          <w:lang w:eastAsia="en-GB"/>
        </w:rPr>
        <w:t xml:space="preserve"> now </w:t>
      </w:r>
      <w:r w:rsidR="009B20A9">
        <w:rPr>
          <w:rFonts w:ascii="Calibri" w:eastAsia="Times New Roman" w:hAnsi="Calibri" w:cs="Calibri"/>
          <w:color w:val="000000"/>
          <w:bdr w:val="none" w:sz="0" w:space="0" w:color="auto" w:frame="1"/>
          <w:lang w:eastAsia="en-GB"/>
        </w:rPr>
        <w:t xml:space="preserve">and payable directly or </w:t>
      </w:r>
      <w:r w:rsidRPr="00BF12C0">
        <w:rPr>
          <w:rFonts w:ascii="Calibri" w:eastAsia="Times New Roman" w:hAnsi="Calibri" w:cs="Calibri"/>
          <w:color w:val="000000"/>
          <w:bdr w:val="none" w:sz="0" w:space="0" w:color="auto" w:frame="1"/>
          <w:lang w:eastAsia="en-GB"/>
        </w:rPr>
        <w:t xml:space="preserve">through </w:t>
      </w:r>
      <w:r w:rsidR="009B20A9">
        <w:rPr>
          <w:rFonts w:ascii="Calibri" w:eastAsia="Times New Roman" w:hAnsi="Calibri" w:cs="Calibri"/>
          <w:color w:val="000000"/>
          <w:bdr w:val="none" w:sz="0" w:space="0" w:color="auto" w:frame="1"/>
          <w:lang w:eastAsia="en-GB"/>
        </w:rPr>
        <w:t xml:space="preserve">a </w:t>
      </w:r>
      <w:r w:rsidRPr="00BF12C0">
        <w:rPr>
          <w:rFonts w:ascii="Calibri" w:eastAsia="Times New Roman" w:hAnsi="Calibri" w:cs="Calibri"/>
          <w:color w:val="000000"/>
          <w:bdr w:val="none" w:sz="0" w:space="0" w:color="auto" w:frame="1"/>
          <w:lang w:eastAsia="en-GB"/>
        </w:rPr>
        <w:t>deferment account</w:t>
      </w:r>
      <w:r w:rsidR="009B20A9">
        <w:rPr>
          <w:rFonts w:ascii="Calibri" w:eastAsia="Times New Roman" w:hAnsi="Calibri" w:cs="Calibri"/>
          <w:color w:val="000000"/>
          <w:bdr w:val="none" w:sz="0" w:space="0" w:color="auto" w:frame="1"/>
          <w:lang w:eastAsia="en-GB"/>
        </w:rPr>
        <w:t xml:space="preserve"> and payable</w:t>
      </w:r>
      <w:r w:rsidRPr="00BF12C0">
        <w:rPr>
          <w:rFonts w:ascii="Calibri" w:eastAsia="Times New Roman" w:hAnsi="Calibri" w:cs="Calibri"/>
          <w:color w:val="000000"/>
          <w:bdr w:val="none" w:sz="0" w:space="0" w:color="auto" w:frame="1"/>
          <w:lang w:eastAsia="en-GB"/>
        </w:rPr>
        <w:t xml:space="preserve"> </w:t>
      </w:r>
      <w:r w:rsidR="00980ECC">
        <w:rPr>
          <w:rFonts w:ascii="Calibri" w:eastAsia="Times New Roman" w:hAnsi="Calibri" w:cs="Calibri"/>
          <w:color w:val="000000"/>
          <w:bdr w:val="none" w:sz="0" w:space="0" w:color="auto" w:frame="1"/>
          <w:lang w:eastAsia="en-GB"/>
        </w:rPr>
        <w:t>o</w:t>
      </w:r>
      <w:r w:rsidRPr="00BF12C0">
        <w:rPr>
          <w:rFonts w:ascii="Calibri" w:eastAsia="Times New Roman" w:hAnsi="Calibri" w:cs="Calibri"/>
          <w:color w:val="000000"/>
          <w:bdr w:val="none" w:sz="0" w:space="0" w:color="auto" w:frame="1"/>
          <w:lang w:eastAsia="en-GB"/>
        </w:rPr>
        <w:t xml:space="preserve">n the </w:t>
      </w:r>
      <w:r w:rsidR="00980ECC">
        <w:rPr>
          <w:rFonts w:ascii="Calibri" w:eastAsia="Times New Roman" w:hAnsi="Calibri" w:cs="Calibri"/>
          <w:color w:val="000000"/>
          <w:bdr w:val="none" w:sz="0" w:space="0" w:color="auto" w:frame="1"/>
          <w:lang w:eastAsia="en-GB"/>
        </w:rPr>
        <w:t>15</w:t>
      </w:r>
      <w:r w:rsidR="00980ECC" w:rsidRPr="00980ECC">
        <w:rPr>
          <w:rFonts w:ascii="Calibri" w:eastAsia="Times New Roman" w:hAnsi="Calibri" w:cs="Calibri"/>
          <w:color w:val="000000"/>
          <w:bdr w:val="none" w:sz="0" w:space="0" w:color="auto" w:frame="1"/>
          <w:vertAlign w:val="superscript"/>
          <w:lang w:eastAsia="en-GB"/>
        </w:rPr>
        <w:t>th</w:t>
      </w:r>
      <w:r w:rsidR="00980ECC">
        <w:rPr>
          <w:rFonts w:ascii="Calibri" w:eastAsia="Times New Roman" w:hAnsi="Calibri" w:cs="Calibri"/>
          <w:color w:val="000000"/>
          <w:bdr w:val="none" w:sz="0" w:space="0" w:color="auto" w:frame="1"/>
          <w:lang w:eastAsia="en-GB"/>
        </w:rPr>
        <w:t xml:space="preserve"> of the </w:t>
      </w:r>
      <w:r w:rsidRPr="00BF12C0">
        <w:rPr>
          <w:rFonts w:ascii="Calibri" w:eastAsia="Times New Roman" w:hAnsi="Calibri" w:cs="Calibri"/>
          <w:color w:val="000000"/>
          <w:bdr w:val="none" w:sz="0" w:space="0" w:color="auto" w:frame="1"/>
          <w:lang w:eastAsia="en-GB"/>
        </w:rPr>
        <w:t xml:space="preserve">month following customs clearance. </w:t>
      </w:r>
    </w:p>
    <w:p w14:paraId="159B31AB" w14:textId="679805B9" w:rsidR="00A2019C" w:rsidRPr="00A2019C" w:rsidRDefault="00A2019C" w:rsidP="00A2019C">
      <w:pPr>
        <w:shd w:val="clear" w:color="auto" w:fill="FFFFFF"/>
        <w:textAlignment w:val="baseline"/>
        <w:rPr>
          <w:rFonts w:ascii="Arial" w:eastAsia="Times New Roman" w:hAnsi="Arial" w:cs="Arial"/>
          <w:color w:val="0B0C0C"/>
          <w:sz w:val="29"/>
          <w:szCs w:val="29"/>
          <w:lang w:eastAsia="en-GB"/>
        </w:rPr>
      </w:pPr>
    </w:p>
    <w:p w14:paraId="7DCD28C3" w14:textId="06A6D87F" w:rsidR="00A2019C" w:rsidRDefault="00BF12C0"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Summary declarations will be </w:t>
      </w:r>
      <w:r w:rsidR="00A2019C" w:rsidRPr="00A2019C">
        <w:rPr>
          <w:rFonts w:ascii="Calibri" w:eastAsia="Times New Roman" w:hAnsi="Calibri" w:cs="Calibri"/>
          <w:color w:val="000000"/>
          <w:lang w:eastAsia="en-GB"/>
        </w:rPr>
        <w:t>based on a compan</w:t>
      </w:r>
      <w:r>
        <w:rPr>
          <w:rFonts w:ascii="Calibri" w:eastAsia="Times New Roman" w:hAnsi="Calibri" w:cs="Calibri"/>
          <w:color w:val="000000"/>
          <w:lang w:eastAsia="en-GB"/>
        </w:rPr>
        <w:t>y’</w:t>
      </w:r>
      <w:r w:rsidR="00A2019C" w:rsidRPr="00A2019C">
        <w:rPr>
          <w:rFonts w:ascii="Calibri" w:eastAsia="Times New Roman" w:hAnsi="Calibri" w:cs="Calibri"/>
          <w:color w:val="000000"/>
          <w:lang w:eastAsia="en-GB"/>
        </w:rPr>
        <w:t xml:space="preserve">s audit-able records and </w:t>
      </w:r>
      <w:r>
        <w:rPr>
          <w:rFonts w:ascii="Calibri" w:eastAsia="Times New Roman" w:hAnsi="Calibri" w:cs="Calibri"/>
          <w:color w:val="000000"/>
          <w:lang w:eastAsia="en-GB"/>
        </w:rPr>
        <w:t>can</w:t>
      </w:r>
      <w:r w:rsidR="00A2019C" w:rsidRPr="00A2019C">
        <w:rPr>
          <w:rFonts w:ascii="Calibri" w:eastAsia="Times New Roman" w:hAnsi="Calibri" w:cs="Calibri"/>
          <w:color w:val="000000"/>
          <w:lang w:eastAsia="en-GB"/>
        </w:rPr>
        <w:t xml:space="preserve"> be made on a monthly basis</w:t>
      </w:r>
      <w:r>
        <w:rPr>
          <w:rFonts w:ascii="Calibri" w:eastAsia="Times New Roman" w:hAnsi="Calibri" w:cs="Calibri"/>
          <w:color w:val="000000"/>
          <w:lang w:eastAsia="en-GB"/>
        </w:rPr>
        <w:t>, or within 6 months after the new controls are in place</w:t>
      </w:r>
      <w:r w:rsidR="00A2019C" w:rsidRPr="00A2019C">
        <w:rPr>
          <w:rFonts w:ascii="Calibri" w:eastAsia="Times New Roman" w:hAnsi="Calibri" w:cs="Calibri"/>
          <w:color w:val="000000"/>
          <w:lang w:eastAsia="en-GB"/>
        </w:rPr>
        <w:t>.</w:t>
      </w:r>
    </w:p>
    <w:p w14:paraId="7D9D3260" w14:textId="12A2903A" w:rsidR="00E6211E" w:rsidRDefault="00E6211E" w:rsidP="00A2019C">
      <w:pPr>
        <w:textAlignment w:val="baseline"/>
        <w:rPr>
          <w:rFonts w:ascii="Calibri" w:eastAsia="Times New Roman" w:hAnsi="Calibri" w:cs="Calibri"/>
          <w:color w:val="000000"/>
          <w:lang w:eastAsia="en-GB"/>
        </w:rPr>
      </w:pPr>
    </w:p>
    <w:p w14:paraId="0183C496" w14:textId="60381817" w:rsidR="00E6211E" w:rsidRDefault="00E6211E"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There are some changes to the requirements for Animal &amp; Plant Health certificates, a new system will be introduced to replace the EU passport system, controls </w:t>
      </w:r>
      <w:r w:rsidR="00980ECC">
        <w:rPr>
          <w:rFonts w:ascii="Calibri" w:eastAsia="Times New Roman" w:hAnsi="Calibri" w:cs="Calibri"/>
          <w:color w:val="000000"/>
          <w:lang w:eastAsia="en-GB"/>
        </w:rPr>
        <w:t>are likely to</w:t>
      </w:r>
      <w:r>
        <w:rPr>
          <w:rFonts w:ascii="Calibri" w:eastAsia="Times New Roman" w:hAnsi="Calibri" w:cs="Calibri"/>
          <w:color w:val="000000"/>
          <w:lang w:eastAsia="en-GB"/>
        </w:rPr>
        <w:t xml:space="preserve"> be as rigorous as they are now, with a number of additional measures on plant health not </w:t>
      </w:r>
      <w:r w:rsidR="00980ECC">
        <w:rPr>
          <w:rFonts w:ascii="Calibri" w:eastAsia="Times New Roman" w:hAnsi="Calibri" w:cs="Calibri"/>
          <w:color w:val="000000"/>
          <w:lang w:eastAsia="en-GB"/>
        </w:rPr>
        <w:t xml:space="preserve">currently </w:t>
      </w:r>
      <w:r>
        <w:rPr>
          <w:rFonts w:ascii="Calibri" w:eastAsia="Times New Roman" w:hAnsi="Calibri" w:cs="Calibri"/>
          <w:color w:val="000000"/>
          <w:lang w:eastAsia="en-GB"/>
        </w:rPr>
        <w:t>included in EU controls.</w:t>
      </w:r>
    </w:p>
    <w:p w14:paraId="674789E2" w14:textId="3E81A10E" w:rsidR="00BF12C0" w:rsidRDefault="00BF12C0" w:rsidP="00A2019C">
      <w:pPr>
        <w:textAlignment w:val="baseline"/>
        <w:rPr>
          <w:rFonts w:ascii="Calibri" w:eastAsia="Times New Roman" w:hAnsi="Calibri" w:cs="Calibri"/>
          <w:color w:val="000000"/>
          <w:lang w:eastAsia="en-GB"/>
        </w:rPr>
      </w:pPr>
    </w:p>
    <w:p w14:paraId="0E0C7CE4" w14:textId="2408F1BE" w:rsidR="00BF12C0"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After the 6</w:t>
      </w:r>
      <w:r w:rsidR="007C2FC6">
        <w:rPr>
          <w:rFonts w:ascii="Calibri" w:eastAsia="Times New Roman" w:hAnsi="Calibri" w:cs="Calibri"/>
          <w:color w:val="000000"/>
          <w:lang w:eastAsia="en-GB"/>
        </w:rPr>
        <w:t>-</w:t>
      </w:r>
      <w:r>
        <w:rPr>
          <w:rFonts w:ascii="Calibri" w:eastAsia="Times New Roman" w:hAnsi="Calibri" w:cs="Calibri"/>
          <w:color w:val="000000"/>
          <w:lang w:eastAsia="en-GB"/>
        </w:rPr>
        <w:t>month grace period ends, f</w:t>
      </w:r>
      <w:r w:rsidR="00BF12C0">
        <w:rPr>
          <w:rFonts w:ascii="Calibri" w:eastAsia="Times New Roman" w:hAnsi="Calibri" w:cs="Calibri"/>
          <w:color w:val="000000"/>
          <w:lang w:eastAsia="en-GB"/>
        </w:rPr>
        <w:t xml:space="preserve">ull customs declarations will need to be made for </w:t>
      </w:r>
      <w:r>
        <w:rPr>
          <w:rFonts w:ascii="Calibri" w:eastAsia="Times New Roman" w:hAnsi="Calibri" w:cs="Calibri"/>
          <w:color w:val="000000"/>
          <w:lang w:eastAsia="en-GB"/>
        </w:rPr>
        <w:t>all imports</w:t>
      </w:r>
      <w:r w:rsidR="00BF12C0">
        <w:rPr>
          <w:rFonts w:ascii="Calibri" w:eastAsia="Times New Roman" w:hAnsi="Calibri" w:cs="Calibri"/>
          <w:color w:val="000000"/>
          <w:lang w:eastAsia="en-GB"/>
        </w:rPr>
        <w:t xml:space="preserve"> from </w:t>
      </w:r>
      <w:r>
        <w:rPr>
          <w:rFonts w:ascii="Calibri" w:eastAsia="Times New Roman" w:hAnsi="Calibri" w:cs="Calibri"/>
          <w:color w:val="000000"/>
          <w:lang w:eastAsia="en-GB"/>
        </w:rPr>
        <w:t xml:space="preserve">the </w:t>
      </w:r>
      <w:r w:rsidR="00BF12C0">
        <w:rPr>
          <w:rFonts w:ascii="Calibri" w:eastAsia="Times New Roman" w:hAnsi="Calibri" w:cs="Calibri"/>
          <w:color w:val="000000"/>
          <w:lang w:eastAsia="en-GB"/>
        </w:rPr>
        <w:t xml:space="preserve">EU imports </w:t>
      </w:r>
      <w:r>
        <w:rPr>
          <w:rFonts w:ascii="Calibri" w:eastAsia="Times New Roman" w:hAnsi="Calibri" w:cs="Calibri"/>
          <w:color w:val="000000"/>
          <w:lang w:eastAsia="en-GB"/>
        </w:rPr>
        <w:t>from 1</w:t>
      </w:r>
      <w:r w:rsidRPr="00BF12C0">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July 2021, </w:t>
      </w:r>
      <w:r w:rsidR="00BF12C0">
        <w:rPr>
          <w:rFonts w:ascii="Calibri" w:eastAsia="Times New Roman" w:hAnsi="Calibri" w:cs="Calibri"/>
          <w:color w:val="000000"/>
          <w:lang w:eastAsia="en-GB"/>
        </w:rPr>
        <w:t>as they are now for ROW.</w:t>
      </w:r>
      <w:r w:rsidR="007C2FC6">
        <w:rPr>
          <w:rFonts w:ascii="Calibri" w:eastAsia="Times New Roman" w:hAnsi="Calibri" w:cs="Calibri"/>
          <w:color w:val="000000"/>
          <w:lang w:eastAsia="en-GB"/>
        </w:rPr>
        <w:t xml:space="preserve">  A summary of the options </w:t>
      </w:r>
      <w:proofErr w:type="gramStart"/>
      <w:r w:rsidR="007C2FC6">
        <w:rPr>
          <w:rFonts w:ascii="Calibri" w:eastAsia="Times New Roman" w:hAnsi="Calibri" w:cs="Calibri"/>
          <w:color w:val="000000"/>
          <w:lang w:eastAsia="en-GB"/>
        </w:rPr>
        <w:t>are</w:t>
      </w:r>
      <w:proofErr w:type="gramEnd"/>
      <w:r w:rsidR="007C2FC6">
        <w:rPr>
          <w:rFonts w:ascii="Calibri" w:eastAsia="Times New Roman" w:hAnsi="Calibri" w:cs="Calibri"/>
          <w:color w:val="000000"/>
          <w:lang w:eastAsia="en-GB"/>
        </w:rPr>
        <w:t xml:space="preserve"> below.</w:t>
      </w:r>
    </w:p>
    <w:p w14:paraId="44DEA9C0" w14:textId="2D2307BD" w:rsidR="00980ECC" w:rsidRDefault="00980ECC" w:rsidP="00A2019C">
      <w:pPr>
        <w:textAlignment w:val="baseline"/>
        <w:rPr>
          <w:rFonts w:ascii="Calibri" w:eastAsia="Times New Roman" w:hAnsi="Calibri" w:cs="Calibri"/>
          <w:color w:val="000000"/>
          <w:lang w:eastAsia="en-GB"/>
        </w:rPr>
      </w:pPr>
    </w:p>
    <w:p w14:paraId="33ECA119" w14:textId="17ED01D8" w:rsidR="00980ECC" w:rsidRDefault="00980ECC" w:rsidP="00A2019C">
      <w:pPr>
        <w:textAlignment w:val="baseline"/>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1499"/>
        <w:gridCol w:w="1856"/>
        <w:gridCol w:w="1857"/>
        <w:gridCol w:w="1857"/>
        <w:gridCol w:w="1857"/>
      </w:tblGrid>
      <w:tr w:rsidR="00980ECC" w14:paraId="64BD67DB" w14:textId="77777777" w:rsidTr="003D5CB2">
        <w:tc>
          <w:tcPr>
            <w:tcW w:w="1499" w:type="dxa"/>
          </w:tcPr>
          <w:p w14:paraId="2AE7CA23" w14:textId="6307F1C0" w:rsidR="00980ECC" w:rsidRDefault="00980ECC" w:rsidP="00A2019C">
            <w:pPr>
              <w:textAlignment w:val="baseline"/>
              <w:rPr>
                <w:rFonts w:ascii="Calibri" w:eastAsia="Times New Roman" w:hAnsi="Calibri" w:cs="Calibri"/>
                <w:color w:val="000000"/>
                <w:lang w:eastAsia="en-GB"/>
              </w:rPr>
            </w:pPr>
          </w:p>
        </w:tc>
        <w:tc>
          <w:tcPr>
            <w:tcW w:w="3713" w:type="dxa"/>
            <w:gridSpan w:val="2"/>
          </w:tcPr>
          <w:p w14:paraId="19427769" w14:textId="207814FC" w:rsidR="00980ECC" w:rsidRDefault="00980ECC" w:rsidP="00980ECC">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Import</w:t>
            </w:r>
          </w:p>
        </w:tc>
        <w:tc>
          <w:tcPr>
            <w:tcW w:w="3714" w:type="dxa"/>
            <w:gridSpan w:val="2"/>
          </w:tcPr>
          <w:p w14:paraId="2100EF9A" w14:textId="7554F2F7" w:rsidR="00980ECC" w:rsidRDefault="00980ECC" w:rsidP="00980ECC">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Export</w:t>
            </w:r>
          </w:p>
        </w:tc>
      </w:tr>
      <w:tr w:rsidR="00FC0E91" w14:paraId="3F06C6EF" w14:textId="77777777" w:rsidTr="00FC0E91">
        <w:tc>
          <w:tcPr>
            <w:tcW w:w="1499" w:type="dxa"/>
          </w:tcPr>
          <w:p w14:paraId="5EF4ADC8" w14:textId="77777777" w:rsidR="00FC0E91" w:rsidRDefault="00FC0E91" w:rsidP="00FC0E91">
            <w:pPr>
              <w:textAlignment w:val="baseline"/>
              <w:rPr>
                <w:rFonts w:ascii="Calibri" w:eastAsia="Times New Roman" w:hAnsi="Calibri" w:cs="Calibri"/>
                <w:color w:val="000000"/>
                <w:lang w:eastAsia="en-GB"/>
              </w:rPr>
            </w:pPr>
          </w:p>
        </w:tc>
        <w:tc>
          <w:tcPr>
            <w:tcW w:w="1856" w:type="dxa"/>
            <w:shd w:val="clear" w:color="auto" w:fill="B4C6E7" w:themeFill="accent1" w:themeFillTint="66"/>
          </w:tcPr>
          <w:p w14:paraId="6D27E5F8" w14:textId="2C9546B1" w:rsidR="00FC0E91" w:rsidRDefault="00FC0E91" w:rsidP="00FC0E91">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EU</w:t>
            </w:r>
          </w:p>
        </w:tc>
        <w:tc>
          <w:tcPr>
            <w:tcW w:w="1857" w:type="dxa"/>
            <w:shd w:val="clear" w:color="auto" w:fill="B4C6E7" w:themeFill="accent1" w:themeFillTint="66"/>
          </w:tcPr>
          <w:p w14:paraId="6BBBB229" w14:textId="2D77A175" w:rsidR="00FC0E91" w:rsidRDefault="00FC0E91" w:rsidP="00FC0E91">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ROW</w:t>
            </w:r>
          </w:p>
        </w:tc>
        <w:tc>
          <w:tcPr>
            <w:tcW w:w="1857" w:type="dxa"/>
            <w:shd w:val="clear" w:color="auto" w:fill="B4C6E7" w:themeFill="accent1" w:themeFillTint="66"/>
          </w:tcPr>
          <w:p w14:paraId="4B4BEB34" w14:textId="1CCC7A9F" w:rsidR="00FC0E91" w:rsidRDefault="00FC0E91" w:rsidP="00FC0E91">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EU</w:t>
            </w:r>
          </w:p>
        </w:tc>
        <w:tc>
          <w:tcPr>
            <w:tcW w:w="1857" w:type="dxa"/>
            <w:shd w:val="clear" w:color="auto" w:fill="B4C6E7" w:themeFill="accent1" w:themeFillTint="66"/>
          </w:tcPr>
          <w:p w14:paraId="1AAECD4D" w14:textId="00204B70" w:rsidR="00FC0E91" w:rsidRDefault="00FC0E91" w:rsidP="00FC0E91">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ROW</w:t>
            </w:r>
          </w:p>
        </w:tc>
      </w:tr>
      <w:tr w:rsidR="00980ECC" w14:paraId="0998FC24" w14:textId="77777777" w:rsidTr="00980ECC">
        <w:tc>
          <w:tcPr>
            <w:tcW w:w="1499" w:type="dxa"/>
          </w:tcPr>
          <w:p w14:paraId="46F10A90" w14:textId="4933D0BD" w:rsidR="00980ECC" w:rsidRDefault="00FC0E91"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Until 31/12/20</w:t>
            </w:r>
          </w:p>
        </w:tc>
        <w:tc>
          <w:tcPr>
            <w:tcW w:w="1856" w:type="dxa"/>
          </w:tcPr>
          <w:p w14:paraId="282F0284" w14:textId="34C3592F"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 Customs Declaration</w:t>
            </w:r>
            <w:r w:rsidR="007C2FC6">
              <w:rPr>
                <w:rFonts w:ascii="Calibri" w:eastAsia="Times New Roman" w:hAnsi="Calibri" w:cs="Calibri"/>
                <w:color w:val="000000"/>
                <w:lang w:eastAsia="en-GB"/>
              </w:rPr>
              <w:t xml:space="preserve"> – Customs Union rules apply</w:t>
            </w:r>
          </w:p>
        </w:tc>
        <w:tc>
          <w:tcPr>
            <w:tcW w:w="1857" w:type="dxa"/>
          </w:tcPr>
          <w:p w14:paraId="2E805161" w14:textId="233EE5BE"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Full Customs Declaration and supporting certificates</w:t>
            </w:r>
          </w:p>
        </w:tc>
        <w:tc>
          <w:tcPr>
            <w:tcW w:w="1857" w:type="dxa"/>
          </w:tcPr>
          <w:p w14:paraId="0BBEBE66" w14:textId="1C51E1F3" w:rsidR="00980ECC" w:rsidRDefault="007C2FC6"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 Customs Declaration – Customs Union rules apply</w:t>
            </w:r>
          </w:p>
        </w:tc>
        <w:tc>
          <w:tcPr>
            <w:tcW w:w="1857" w:type="dxa"/>
          </w:tcPr>
          <w:p w14:paraId="2F9AFF76" w14:textId="5DB5D1CF"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Full Customs Declaration and supporting certificates</w:t>
            </w:r>
          </w:p>
        </w:tc>
      </w:tr>
      <w:tr w:rsidR="00980ECC" w14:paraId="3661F439" w14:textId="77777777" w:rsidTr="00980ECC">
        <w:tc>
          <w:tcPr>
            <w:tcW w:w="1499" w:type="dxa"/>
          </w:tcPr>
          <w:p w14:paraId="334C0613" w14:textId="77777777" w:rsidR="00FC0E91" w:rsidRDefault="00FC0E91"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From </w:t>
            </w:r>
          </w:p>
          <w:p w14:paraId="51462921" w14:textId="3F4E20C5" w:rsidR="00980ECC" w:rsidRDefault="00FC0E91"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1/1/21</w:t>
            </w:r>
          </w:p>
        </w:tc>
        <w:tc>
          <w:tcPr>
            <w:tcW w:w="1856" w:type="dxa"/>
          </w:tcPr>
          <w:p w14:paraId="52547BEF" w14:textId="03EB712D"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Full Customs Declaration </w:t>
            </w:r>
            <w:r w:rsidR="00FC0E91">
              <w:rPr>
                <w:rFonts w:ascii="Calibri" w:eastAsia="Times New Roman" w:hAnsi="Calibri" w:cs="Calibri"/>
                <w:color w:val="000000"/>
                <w:lang w:eastAsia="en-GB"/>
              </w:rPr>
              <w:t>or delay for up to 6 months</w:t>
            </w:r>
          </w:p>
        </w:tc>
        <w:tc>
          <w:tcPr>
            <w:tcW w:w="1857" w:type="dxa"/>
          </w:tcPr>
          <w:p w14:paraId="0BA4B866" w14:textId="67608495"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Full Customs Declaration and supporting certificates</w:t>
            </w:r>
          </w:p>
        </w:tc>
        <w:tc>
          <w:tcPr>
            <w:tcW w:w="1857" w:type="dxa"/>
          </w:tcPr>
          <w:p w14:paraId="4942D9A0" w14:textId="7CCB2809"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Full Customs Declaration and supporting certificates</w:t>
            </w:r>
          </w:p>
        </w:tc>
        <w:tc>
          <w:tcPr>
            <w:tcW w:w="1857" w:type="dxa"/>
          </w:tcPr>
          <w:p w14:paraId="32C6680B" w14:textId="18CBCE4B" w:rsidR="00980ECC" w:rsidRDefault="00980ECC" w:rsidP="00A2019C">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Full Customs Declaration and supporting certificates</w:t>
            </w:r>
          </w:p>
        </w:tc>
      </w:tr>
    </w:tbl>
    <w:p w14:paraId="7A6C7310" w14:textId="73E51F07" w:rsidR="00980ECC" w:rsidRDefault="00980ECC" w:rsidP="00A2019C">
      <w:pPr>
        <w:textAlignment w:val="baseline"/>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1499"/>
        <w:gridCol w:w="1856"/>
        <w:gridCol w:w="1857"/>
        <w:gridCol w:w="1857"/>
        <w:gridCol w:w="1857"/>
      </w:tblGrid>
      <w:tr w:rsidR="00FC0E91" w14:paraId="106A9904" w14:textId="77777777" w:rsidTr="004501E7">
        <w:tc>
          <w:tcPr>
            <w:tcW w:w="1499" w:type="dxa"/>
          </w:tcPr>
          <w:p w14:paraId="39156632" w14:textId="77777777" w:rsidR="007C2FC6" w:rsidRDefault="007C2FC6" w:rsidP="004501E7">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From </w:t>
            </w:r>
          </w:p>
          <w:p w14:paraId="4A4D614E" w14:textId="0A6E007D" w:rsidR="00FC0E91" w:rsidRDefault="007C2FC6" w:rsidP="004501E7">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1/1/21</w:t>
            </w:r>
          </w:p>
        </w:tc>
        <w:tc>
          <w:tcPr>
            <w:tcW w:w="3713" w:type="dxa"/>
            <w:gridSpan w:val="2"/>
          </w:tcPr>
          <w:p w14:paraId="159ADB2F" w14:textId="3119F0D0"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Postponed VAT Accounting</w:t>
            </w:r>
          </w:p>
        </w:tc>
        <w:tc>
          <w:tcPr>
            <w:tcW w:w="3714" w:type="dxa"/>
            <w:gridSpan w:val="2"/>
          </w:tcPr>
          <w:p w14:paraId="70D7587D" w14:textId="787A76B9"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Keep records of imports and make a summary declaration in July ’20?</w:t>
            </w:r>
          </w:p>
        </w:tc>
      </w:tr>
      <w:tr w:rsidR="00FC0E91" w14:paraId="36F8ABBF" w14:textId="77777777" w:rsidTr="004501E7">
        <w:tc>
          <w:tcPr>
            <w:tcW w:w="1499" w:type="dxa"/>
          </w:tcPr>
          <w:p w14:paraId="647CED9E" w14:textId="77777777" w:rsidR="00FC0E91" w:rsidRDefault="00FC0E91" w:rsidP="004501E7">
            <w:pPr>
              <w:textAlignment w:val="baseline"/>
              <w:rPr>
                <w:rFonts w:ascii="Calibri" w:eastAsia="Times New Roman" w:hAnsi="Calibri" w:cs="Calibri"/>
                <w:color w:val="000000"/>
                <w:lang w:eastAsia="en-GB"/>
              </w:rPr>
            </w:pPr>
          </w:p>
        </w:tc>
        <w:tc>
          <w:tcPr>
            <w:tcW w:w="1856" w:type="dxa"/>
            <w:shd w:val="clear" w:color="auto" w:fill="B4C6E7" w:themeFill="accent1" w:themeFillTint="66"/>
          </w:tcPr>
          <w:p w14:paraId="27B4A4F6" w14:textId="77777777"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EU</w:t>
            </w:r>
          </w:p>
        </w:tc>
        <w:tc>
          <w:tcPr>
            <w:tcW w:w="1857" w:type="dxa"/>
            <w:shd w:val="clear" w:color="auto" w:fill="B4C6E7" w:themeFill="accent1" w:themeFillTint="66"/>
          </w:tcPr>
          <w:p w14:paraId="58292DAF" w14:textId="77777777"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ROW</w:t>
            </w:r>
          </w:p>
        </w:tc>
        <w:tc>
          <w:tcPr>
            <w:tcW w:w="1857" w:type="dxa"/>
            <w:shd w:val="clear" w:color="auto" w:fill="B4C6E7" w:themeFill="accent1" w:themeFillTint="66"/>
          </w:tcPr>
          <w:p w14:paraId="3ECA74E1" w14:textId="77777777"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EU</w:t>
            </w:r>
          </w:p>
        </w:tc>
        <w:tc>
          <w:tcPr>
            <w:tcW w:w="1857" w:type="dxa"/>
            <w:shd w:val="clear" w:color="auto" w:fill="B4C6E7" w:themeFill="accent1" w:themeFillTint="66"/>
          </w:tcPr>
          <w:p w14:paraId="77F2C190" w14:textId="77777777" w:rsidR="00FC0E91" w:rsidRDefault="00FC0E91" w:rsidP="004501E7">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ROW</w:t>
            </w:r>
          </w:p>
        </w:tc>
      </w:tr>
      <w:tr w:rsidR="00FC0E91" w14:paraId="04596282" w14:textId="77777777" w:rsidTr="004501E7">
        <w:tc>
          <w:tcPr>
            <w:tcW w:w="1499" w:type="dxa"/>
          </w:tcPr>
          <w:p w14:paraId="7CE190BB" w14:textId="7F206634" w:rsidR="00FC0E91" w:rsidRDefault="007C2FC6" w:rsidP="004501E7">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Import</w:t>
            </w:r>
          </w:p>
        </w:tc>
        <w:tc>
          <w:tcPr>
            <w:tcW w:w="1856" w:type="dxa"/>
          </w:tcPr>
          <w:p w14:paraId="747A47AC" w14:textId="531C6364" w:rsidR="00FC0E91" w:rsidRDefault="007C2FC6" w:rsidP="007C2FC6">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1857" w:type="dxa"/>
          </w:tcPr>
          <w:p w14:paraId="121C8780" w14:textId="07AB5856" w:rsidR="00FC0E91" w:rsidRDefault="007C2FC6" w:rsidP="007C2FC6">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1857" w:type="dxa"/>
          </w:tcPr>
          <w:p w14:paraId="6B86F045" w14:textId="41E139FD" w:rsidR="00FC0E91" w:rsidRDefault="007C2FC6" w:rsidP="007C2FC6">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1857" w:type="dxa"/>
          </w:tcPr>
          <w:p w14:paraId="32BC7ECE" w14:textId="0D2992EB" w:rsidR="00FC0E91" w:rsidRDefault="00FC0E91" w:rsidP="007C2FC6">
            <w:pPr>
              <w:jc w:val="cente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NO</w:t>
            </w:r>
          </w:p>
        </w:tc>
      </w:tr>
    </w:tbl>
    <w:p w14:paraId="37E43EE3" w14:textId="77777777" w:rsidR="00FC0E91" w:rsidRPr="00A2019C" w:rsidRDefault="00FC0E91" w:rsidP="00A2019C">
      <w:pPr>
        <w:textAlignment w:val="baseline"/>
        <w:rPr>
          <w:rFonts w:ascii="Calibri" w:eastAsia="Times New Roman" w:hAnsi="Calibri" w:cs="Calibri"/>
          <w:color w:val="000000"/>
          <w:lang w:eastAsia="en-GB"/>
        </w:rPr>
      </w:pPr>
    </w:p>
    <w:p w14:paraId="6296AA71" w14:textId="77777777" w:rsidR="00DC3D63" w:rsidRDefault="00DC3D63">
      <w:pPr>
        <w:rPr>
          <w:b/>
          <w:bCs/>
        </w:rPr>
      </w:pPr>
    </w:p>
    <w:p w14:paraId="5AE599D8" w14:textId="77777777" w:rsidR="00DC3D63" w:rsidRDefault="00DC3D63">
      <w:pPr>
        <w:rPr>
          <w:b/>
          <w:bCs/>
        </w:rPr>
      </w:pPr>
    </w:p>
    <w:p w14:paraId="38C2595B" w14:textId="77777777" w:rsidR="00DC3D63" w:rsidRDefault="00DC3D63">
      <w:pPr>
        <w:rPr>
          <w:b/>
          <w:bCs/>
        </w:rPr>
      </w:pPr>
    </w:p>
    <w:p w14:paraId="69BA8D76" w14:textId="354BD1F4" w:rsidR="00A2019C" w:rsidRPr="007C2FC6" w:rsidRDefault="007C2FC6">
      <w:pPr>
        <w:rPr>
          <w:b/>
          <w:bCs/>
        </w:rPr>
      </w:pPr>
      <w:r w:rsidRPr="007C2FC6">
        <w:rPr>
          <w:b/>
          <w:bCs/>
        </w:rPr>
        <w:lastRenderedPageBreak/>
        <w:t>Grant Funding</w:t>
      </w:r>
    </w:p>
    <w:p w14:paraId="238D305F" w14:textId="77777777" w:rsidR="007C2FC6" w:rsidRDefault="007C2FC6"/>
    <w:p w14:paraId="359C652D" w14:textId="12EAB820" w:rsidR="00E6211E" w:rsidRDefault="00BF12C0">
      <w:r>
        <w:t xml:space="preserve">Traders will also be able to access the </w:t>
      </w:r>
      <w:hyperlink r:id="rId9" w:history="1">
        <w:r w:rsidRPr="00D740F9">
          <w:rPr>
            <w:rStyle w:val="Hyperlink"/>
          </w:rPr>
          <w:t>new £50m grant funding</w:t>
        </w:r>
      </w:hyperlink>
      <w:r>
        <w:t xml:space="preserve"> from July.  The fund will be available for employment and training of new staff and for IT upgrades to handle customs declarations.</w:t>
      </w:r>
      <w:r w:rsidR="00E6211E">
        <w:t xml:space="preserve">  A procurement process is underway to appoint a grant administrator, PWC currently operate the legacy scheme.</w:t>
      </w:r>
    </w:p>
    <w:p w14:paraId="56F4D5EB" w14:textId="77777777" w:rsidR="007C2FC6" w:rsidRDefault="007C2FC6"/>
    <w:p w14:paraId="439D026B" w14:textId="0C55E9BE" w:rsidR="00E6211E" w:rsidRPr="00DC3D63" w:rsidRDefault="00E6211E">
      <w:pPr>
        <w:rPr>
          <w:b/>
          <w:bCs/>
        </w:rPr>
      </w:pPr>
      <w:r w:rsidRPr="00DC3D63">
        <w:rPr>
          <w:b/>
          <w:bCs/>
        </w:rPr>
        <w:t>What does this mean for ChamberCustoms?</w:t>
      </w:r>
    </w:p>
    <w:p w14:paraId="0CBF7BC7" w14:textId="28FC3838" w:rsidR="00E6211E" w:rsidRDefault="00E6211E"/>
    <w:p w14:paraId="319AE024" w14:textId="77777777" w:rsidR="00136313" w:rsidRDefault="00E6211E" w:rsidP="00136313">
      <w:pPr>
        <w:pStyle w:val="ListParagraph"/>
        <w:numPr>
          <w:ilvl w:val="0"/>
          <w:numId w:val="4"/>
        </w:numPr>
      </w:pPr>
      <w:r>
        <w:t xml:space="preserve">The requirement for additional declarations remains, between 150,000 and 250,000 traders only trade with the EU and will need help in accounting for imports between January and June 2020 and in making summary declarations.  Whilst the volume of additional declarations that need to be made is unclear, </w:t>
      </w:r>
      <w:r w:rsidR="00136313">
        <w:t>without this change its estimated that there would have been another 100m submitted between January and June.  The estimated 200m increase will still apply after June 2021.</w:t>
      </w:r>
    </w:p>
    <w:p w14:paraId="171A44EE" w14:textId="77777777" w:rsidR="007C2FC6" w:rsidRDefault="00136313" w:rsidP="00136313">
      <w:pPr>
        <w:pStyle w:val="ListParagraph"/>
        <w:numPr>
          <w:ilvl w:val="0"/>
          <w:numId w:val="4"/>
        </w:numPr>
      </w:pPr>
      <w:r>
        <w:t xml:space="preserve">This change </w:t>
      </w:r>
      <w:r w:rsidR="007C2FC6">
        <w:t>is likely to</w:t>
      </w:r>
      <w:r>
        <w:t xml:space="preserve"> reduce the impact of full controls on EU imports for some traders.  </w:t>
      </w:r>
      <w:r w:rsidR="00A05E1F">
        <w:t>It will</w:t>
      </w:r>
      <w:r>
        <w:t xml:space="preserve"> eas</w:t>
      </w:r>
      <w:r w:rsidR="00A05E1F">
        <w:t>e</w:t>
      </w:r>
      <w:r>
        <w:t xml:space="preserve"> </w:t>
      </w:r>
      <w:r w:rsidR="007C2FC6">
        <w:t xml:space="preserve">some </w:t>
      </w:r>
      <w:r>
        <w:t xml:space="preserve">traders into new processes.  </w:t>
      </w:r>
    </w:p>
    <w:p w14:paraId="6F057549" w14:textId="5B624C5D" w:rsidR="00E6211E" w:rsidRDefault="007C2FC6" w:rsidP="00136313">
      <w:pPr>
        <w:pStyle w:val="ListParagraph"/>
        <w:numPr>
          <w:ilvl w:val="0"/>
          <w:numId w:val="4"/>
        </w:numPr>
      </w:pPr>
      <w:r>
        <w:t>However,</w:t>
      </w:r>
      <w:r w:rsidR="00136313">
        <w:t xml:space="preserve"> traders </w:t>
      </w:r>
      <w:r>
        <w:t xml:space="preserve">may </w:t>
      </w:r>
      <w:r w:rsidR="00136313">
        <w:t xml:space="preserve">will want to avoid </w:t>
      </w:r>
      <w:r>
        <w:t xml:space="preserve">the </w:t>
      </w:r>
      <w:r w:rsidR="00136313">
        <w:t xml:space="preserve">double process of recording </w:t>
      </w:r>
      <w:r>
        <w:t xml:space="preserve">EU </w:t>
      </w:r>
      <w:r w:rsidR="00136313">
        <w:t xml:space="preserve">import data and </w:t>
      </w:r>
      <w:r>
        <w:t xml:space="preserve">also </w:t>
      </w:r>
      <w:r w:rsidR="00136313">
        <w:t xml:space="preserve">making a summary declaration later.  The introduction of PVA means that </w:t>
      </w:r>
      <w:r>
        <w:t>traders who opt to make a full declaration right away will</w:t>
      </w:r>
      <w:r w:rsidR="00136313">
        <w:t xml:space="preserve"> get time to pay any VAT due in their next VAT return.   </w:t>
      </w:r>
      <w:r w:rsidR="00A05E1F">
        <w:t>For some, making declarations on imports when goods are ready for customs clearance will be more attractive than adding processes and audit.  This will especially apply to those that already trade outside of the EU and don’t want to operate dual accounting systems.</w:t>
      </w:r>
    </w:p>
    <w:p w14:paraId="48B2686B" w14:textId="3C49711E" w:rsidR="00136313" w:rsidRDefault="00136313" w:rsidP="00136313">
      <w:pPr>
        <w:pStyle w:val="ListParagraph"/>
        <w:numPr>
          <w:ilvl w:val="0"/>
          <w:numId w:val="4"/>
        </w:numPr>
      </w:pPr>
      <w:r>
        <w:t xml:space="preserve">The new </w:t>
      </w:r>
      <w:hyperlink r:id="rId10" w:history="1">
        <w:r w:rsidRPr="00D740F9">
          <w:rPr>
            <w:rStyle w:val="Hyperlink"/>
          </w:rPr>
          <w:t>£50m grant scheme</w:t>
        </w:r>
      </w:hyperlink>
      <w:r>
        <w:t xml:space="preserve"> </w:t>
      </w:r>
      <w:r w:rsidR="00D740F9">
        <w:t>criteria</w:t>
      </w:r>
      <w:r>
        <w:t xml:space="preserve"> are yet to be published</w:t>
      </w:r>
      <w:r w:rsidR="00D740F9">
        <w:t xml:space="preserve"> in full</w:t>
      </w:r>
      <w:r>
        <w:t>.  This fund may provide the incentive for Chambers to</w:t>
      </w:r>
      <w:r w:rsidR="007C2FC6">
        <w:t xml:space="preserve"> recruit and</w:t>
      </w:r>
      <w:r>
        <w:t xml:space="preserve"> train more staff or to continue the training of those who have started their learning journey but are not yet active in processing declarations.  We will create training opportunities, so that we can ensure our network is ready to respond to </w:t>
      </w:r>
      <w:r w:rsidR="007C2FC6">
        <w:t>your member</w:t>
      </w:r>
      <w:r>
        <w:t xml:space="preserve"> need</w:t>
      </w:r>
      <w:r w:rsidR="007C2FC6">
        <w:t>s</w:t>
      </w:r>
      <w:r>
        <w:t>.</w:t>
      </w:r>
    </w:p>
    <w:p w14:paraId="377C3D31" w14:textId="5DC6EE97" w:rsidR="00136313" w:rsidRPr="00A05E1F" w:rsidRDefault="00136313" w:rsidP="00136313">
      <w:pPr>
        <w:pStyle w:val="ListParagraph"/>
        <w:numPr>
          <w:ilvl w:val="0"/>
          <w:numId w:val="4"/>
        </w:numPr>
        <w:rPr>
          <w:rFonts w:ascii="Times New Roman" w:eastAsia="Times New Roman" w:hAnsi="Times New Roman" w:cs="Times New Roman"/>
          <w:lang w:eastAsia="en-GB"/>
        </w:rPr>
      </w:pPr>
      <w:r w:rsidRPr="00136313">
        <w:rPr>
          <w:rFonts w:ascii="Calibri" w:eastAsia="Times New Roman" w:hAnsi="Calibri" w:cs="Calibri"/>
          <w:color w:val="000000"/>
          <w:shd w:val="clear" w:color="auto" w:fill="FFFFFF"/>
          <w:lang w:eastAsia="en-GB"/>
        </w:rPr>
        <w:t xml:space="preserve">There will be a change in representation rules – </w:t>
      </w:r>
      <w:r>
        <w:rPr>
          <w:rFonts w:ascii="Calibri" w:eastAsia="Times New Roman" w:hAnsi="Calibri" w:cs="Calibri"/>
          <w:color w:val="000000"/>
          <w:shd w:val="clear" w:color="auto" w:fill="FFFFFF"/>
          <w:lang w:eastAsia="en-GB"/>
        </w:rPr>
        <w:t xml:space="preserve">this </w:t>
      </w:r>
      <w:r w:rsidRPr="00136313">
        <w:rPr>
          <w:rFonts w:ascii="Calibri" w:eastAsia="Times New Roman" w:hAnsi="Calibri" w:cs="Calibri"/>
          <w:color w:val="000000"/>
          <w:shd w:val="clear" w:color="auto" w:fill="FFFFFF"/>
          <w:lang w:eastAsia="en-GB"/>
        </w:rPr>
        <w:t xml:space="preserve">removes </w:t>
      </w:r>
      <w:r w:rsidR="007C2FC6">
        <w:rPr>
          <w:rFonts w:ascii="Calibri" w:eastAsia="Times New Roman" w:hAnsi="Calibri" w:cs="Calibri"/>
          <w:color w:val="000000"/>
          <w:shd w:val="clear" w:color="auto" w:fill="FFFFFF"/>
          <w:lang w:eastAsia="en-GB"/>
        </w:rPr>
        <w:t xml:space="preserve">a </w:t>
      </w:r>
      <w:r w:rsidRPr="00136313">
        <w:rPr>
          <w:rFonts w:ascii="Calibri" w:eastAsia="Times New Roman" w:hAnsi="Calibri" w:cs="Calibri"/>
          <w:color w:val="000000"/>
          <w:shd w:val="clear" w:color="auto" w:fill="FFFFFF"/>
          <w:lang w:eastAsia="en-GB"/>
        </w:rPr>
        <w:t xml:space="preserve">barrier for </w:t>
      </w:r>
      <w:r w:rsidR="00A05E1F">
        <w:rPr>
          <w:rFonts w:ascii="Calibri" w:eastAsia="Times New Roman" w:hAnsi="Calibri" w:cs="Calibri"/>
          <w:color w:val="000000"/>
          <w:shd w:val="clear" w:color="auto" w:fill="FFFFFF"/>
          <w:lang w:eastAsia="en-GB"/>
        </w:rPr>
        <w:t>customs brokers like ChamberCustoms</w:t>
      </w:r>
      <w:r w:rsidRPr="00136313">
        <w:rPr>
          <w:rFonts w:ascii="Calibri" w:eastAsia="Times New Roman" w:hAnsi="Calibri" w:cs="Calibri"/>
          <w:color w:val="000000"/>
          <w:shd w:val="clear" w:color="auto" w:fill="FFFFFF"/>
          <w:lang w:eastAsia="en-GB"/>
        </w:rPr>
        <w:t xml:space="preserve"> </w:t>
      </w:r>
      <w:r>
        <w:rPr>
          <w:rFonts w:ascii="Calibri" w:eastAsia="Times New Roman" w:hAnsi="Calibri" w:cs="Calibri"/>
          <w:color w:val="000000"/>
          <w:shd w:val="clear" w:color="auto" w:fill="FFFFFF"/>
          <w:lang w:eastAsia="en-GB"/>
        </w:rPr>
        <w:t>by</w:t>
      </w:r>
      <w:r w:rsidRPr="00136313">
        <w:rPr>
          <w:rFonts w:ascii="Calibri" w:eastAsia="Times New Roman" w:hAnsi="Calibri" w:cs="Calibri"/>
          <w:color w:val="000000"/>
          <w:shd w:val="clear" w:color="auto" w:fill="FFFFFF"/>
          <w:lang w:eastAsia="en-GB"/>
        </w:rPr>
        <w:t xml:space="preserve"> remov</w:t>
      </w:r>
      <w:r>
        <w:rPr>
          <w:rFonts w:ascii="Calibri" w:eastAsia="Times New Roman" w:hAnsi="Calibri" w:cs="Calibri"/>
          <w:color w:val="000000"/>
          <w:shd w:val="clear" w:color="auto" w:fill="FFFFFF"/>
          <w:lang w:eastAsia="en-GB"/>
        </w:rPr>
        <w:t>ing</w:t>
      </w:r>
      <w:r w:rsidRPr="00136313">
        <w:rPr>
          <w:rFonts w:ascii="Calibri" w:eastAsia="Times New Roman" w:hAnsi="Calibri" w:cs="Calibri"/>
          <w:color w:val="000000"/>
          <w:shd w:val="clear" w:color="auto" w:fill="FFFFFF"/>
          <w:lang w:eastAsia="en-GB"/>
        </w:rPr>
        <w:t xml:space="preserve"> some liability </w:t>
      </w:r>
      <w:r>
        <w:rPr>
          <w:rFonts w:ascii="Calibri" w:eastAsia="Times New Roman" w:hAnsi="Calibri" w:cs="Calibri"/>
          <w:color w:val="000000"/>
          <w:shd w:val="clear" w:color="auto" w:fill="FFFFFF"/>
          <w:lang w:eastAsia="en-GB"/>
        </w:rPr>
        <w:t xml:space="preserve">that currently exists </w:t>
      </w:r>
      <w:r w:rsidR="007C2FC6">
        <w:rPr>
          <w:rFonts w:ascii="Calibri" w:eastAsia="Times New Roman" w:hAnsi="Calibri" w:cs="Calibri"/>
          <w:color w:val="000000"/>
          <w:shd w:val="clear" w:color="auto" w:fill="FFFFFF"/>
          <w:lang w:eastAsia="en-GB"/>
        </w:rPr>
        <w:t xml:space="preserve">when </w:t>
      </w:r>
      <w:r>
        <w:rPr>
          <w:rFonts w:ascii="Calibri" w:eastAsia="Times New Roman" w:hAnsi="Calibri" w:cs="Calibri"/>
          <w:color w:val="000000"/>
          <w:shd w:val="clear" w:color="auto" w:fill="FFFFFF"/>
          <w:lang w:eastAsia="en-GB"/>
        </w:rPr>
        <w:t>offering</w:t>
      </w:r>
      <w:r w:rsidRPr="00136313">
        <w:rPr>
          <w:rFonts w:ascii="Calibri" w:eastAsia="Times New Roman" w:hAnsi="Calibri" w:cs="Calibri"/>
          <w:color w:val="000000"/>
          <w:shd w:val="clear" w:color="auto" w:fill="FFFFFF"/>
          <w:lang w:eastAsia="en-GB"/>
        </w:rPr>
        <w:t xml:space="preserve"> indirect representation.  </w:t>
      </w:r>
      <w:r>
        <w:rPr>
          <w:rFonts w:ascii="Calibri" w:eastAsia="Times New Roman" w:hAnsi="Calibri" w:cs="Calibri"/>
          <w:color w:val="000000"/>
          <w:shd w:val="clear" w:color="auto" w:fill="FFFFFF"/>
          <w:lang w:eastAsia="en-GB"/>
        </w:rPr>
        <w:t>Full d</w:t>
      </w:r>
      <w:r w:rsidRPr="00136313">
        <w:rPr>
          <w:rFonts w:ascii="Calibri" w:eastAsia="Times New Roman" w:hAnsi="Calibri" w:cs="Calibri"/>
          <w:color w:val="000000"/>
          <w:shd w:val="clear" w:color="auto" w:fill="FFFFFF"/>
          <w:lang w:eastAsia="en-GB"/>
        </w:rPr>
        <w:t>etails will be announced later.</w:t>
      </w:r>
    </w:p>
    <w:p w14:paraId="22C77E97" w14:textId="2E57CA02" w:rsidR="00A05E1F" w:rsidRDefault="00A05E1F" w:rsidP="00A05E1F">
      <w:pPr>
        <w:rPr>
          <w:rFonts w:ascii="Times New Roman" w:eastAsia="Times New Roman" w:hAnsi="Times New Roman" w:cs="Times New Roman"/>
          <w:lang w:eastAsia="en-GB"/>
        </w:rPr>
      </w:pPr>
    </w:p>
    <w:p w14:paraId="7D19DF8B" w14:textId="77777777" w:rsidR="00A05E1F" w:rsidRDefault="00A05E1F" w:rsidP="00A05E1F">
      <w:r w:rsidRPr="00A05E1F">
        <w:t>ChamberCustoms already has the capability for summary declarations built into our system</w:t>
      </w:r>
      <w:r>
        <w:t xml:space="preserve"> which is ready to handle large volumes of declarations.   </w:t>
      </w:r>
    </w:p>
    <w:p w14:paraId="2D337E80" w14:textId="77777777" w:rsidR="00A05E1F" w:rsidRDefault="00A05E1F" w:rsidP="00A05E1F"/>
    <w:p w14:paraId="78ED82CB" w14:textId="33BBEEAC" w:rsidR="00A05E1F" w:rsidRDefault="00A05E1F" w:rsidP="00A05E1F">
      <w:r>
        <w:t xml:space="preserve">We need you to acquire new customers, steadily increase volume and make sure we are ready for the big demand </w:t>
      </w:r>
      <w:r w:rsidR="007C2FC6">
        <w:t>uplift</w:t>
      </w:r>
      <w:r>
        <w:t xml:space="preserve"> when it comes.</w:t>
      </w:r>
    </w:p>
    <w:p w14:paraId="4BC011D4" w14:textId="2278C796" w:rsidR="007C2FC6" w:rsidRDefault="007C2FC6" w:rsidP="00A05E1F"/>
    <w:p w14:paraId="0E8D899B" w14:textId="66E4B70E" w:rsidR="007C2FC6" w:rsidRDefault="007C2FC6" w:rsidP="00A05E1F"/>
    <w:p w14:paraId="6F4F7351" w14:textId="127B4CA4" w:rsidR="007C2FC6" w:rsidRDefault="007C2FC6" w:rsidP="00A05E1F">
      <w:r>
        <w:t>Liam Smyth</w:t>
      </w:r>
    </w:p>
    <w:p w14:paraId="1F37EEBF" w14:textId="475C91A6" w:rsidR="007C2FC6" w:rsidRPr="00A05E1F" w:rsidRDefault="007C2FC6" w:rsidP="00A05E1F">
      <w:r>
        <w:t>15</w:t>
      </w:r>
      <w:r w:rsidRPr="007C2FC6">
        <w:rPr>
          <w:vertAlign w:val="superscript"/>
        </w:rPr>
        <w:t>th</w:t>
      </w:r>
      <w:r>
        <w:t xml:space="preserve"> June 2020</w:t>
      </w:r>
    </w:p>
    <w:p w14:paraId="62B0C15C" w14:textId="77777777" w:rsidR="00136313" w:rsidRDefault="00136313" w:rsidP="00136313">
      <w:pPr>
        <w:pStyle w:val="ListParagraph"/>
      </w:pPr>
    </w:p>
    <w:sectPr w:rsidR="00136313" w:rsidSect="003033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AAC"/>
    <w:multiLevelType w:val="multilevel"/>
    <w:tmpl w:val="3FC2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B2A9F"/>
    <w:multiLevelType w:val="hybridMultilevel"/>
    <w:tmpl w:val="30AA3EF0"/>
    <w:lvl w:ilvl="0" w:tplc="28B4CE7E">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163E7"/>
    <w:multiLevelType w:val="hybridMultilevel"/>
    <w:tmpl w:val="C528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95A67"/>
    <w:multiLevelType w:val="hybridMultilevel"/>
    <w:tmpl w:val="42729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542D64"/>
    <w:multiLevelType w:val="hybridMultilevel"/>
    <w:tmpl w:val="2F2869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9C"/>
    <w:rsid w:val="000511E1"/>
    <w:rsid w:val="00136313"/>
    <w:rsid w:val="001F7689"/>
    <w:rsid w:val="00211A2A"/>
    <w:rsid w:val="00243BEC"/>
    <w:rsid w:val="0030337F"/>
    <w:rsid w:val="003E3F0F"/>
    <w:rsid w:val="007C2FC6"/>
    <w:rsid w:val="007F79A1"/>
    <w:rsid w:val="008E6596"/>
    <w:rsid w:val="00980ECC"/>
    <w:rsid w:val="009B20A9"/>
    <w:rsid w:val="00A05E1F"/>
    <w:rsid w:val="00A2019C"/>
    <w:rsid w:val="00BF12C0"/>
    <w:rsid w:val="00D740F9"/>
    <w:rsid w:val="00DC3D63"/>
    <w:rsid w:val="00E6211E"/>
    <w:rsid w:val="00E84719"/>
    <w:rsid w:val="00E87A15"/>
    <w:rsid w:val="00FC0E91"/>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6A632"/>
  <w15:chartTrackingRefBased/>
  <w15:docId w15:val="{86FBBABC-C7A4-DC42-A188-5F66AF54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19C"/>
    <w:rPr>
      <w:color w:val="0000FF"/>
      <w:u w:val="single"/>
    </w:rPr>
  </w:style>
  <w:style w:type="paragraph" w:styleId="NormalWeb">
    <w:name w:val="Normal (Web)"/>
    <w:basedOn w:val="Normal"/>
    <w:uiPriority w:val="99"/>
    <w:semiHidden/>
    <w:unhideWhenUsed/>
    <w:rsid w:val="00A2019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12C0"/>
    <w:pPr>
      <w:ind w:left="720"/>
      <w:contextualSpacing/>
    </w:pPr>
  </w:style>
  <w:style w:type="character" w:styleId="UnresolvedMention">
    <w:name w:val="Unresolved Mention"/>
    <w:basedOn w:val="DefaultParagraphFont"/>
    <w:uiPriority w:val="99"/>
    <w:semiHidden/>
    <w:unhideWhenUsed/>
    <w:rsid w:val="003E3F0F"/>
    <w:rPr>
      <w:color w:val="605E5C"/>
      <w:shd w:val="clear" w:color="auto" w:fill="E1DFDD"/>
    </w:rPr>
  </w:style>
  <w:style w:type="table" w:styleId="TableGrid">
    <w:name w:val="Table Grid"/>
    <w:basedOn w:val="TableNormal"/>
    <w:uiPriority w:val="39"/>
    <w:rsid w:val="009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2226">
      <w:bodyDiv w:val="1"/>
      <w:marLeft w:val="0"/>
      <w:marRight w:val="0"/>
      <w:marTop w:val="0"/>
      <w:marBottom w:val="0"/>
      <w:divBdr>
        <w:top w:val="none" w:sz="0" w:space="0" w:color="auto"/>
        <w:left w:val="none" w:sz="0" w:space="0" w:color="auto"/>
        <w:bottom w:val="none" w:sz="0" w:space="0" w:color="auto"/>
        <w:right w:val="none" w:sz="0" w:space="0" w:color="auto"/>
      </w:divBdr>
      <w:divsChild>
        <w:div w:id="897982741">
          <w:marLeft w:val="0"/>
          <w:marRight w:val="0"/>
          <w:marTop w:val="0"/>
          <w:marBottom w:val="0"/>
          <w:divBdr>
            <w:top w:val="none" w:sz="0" w:space="0" w:color="auto"/>
            <w:left w:val="none" w:sz="0" w:space="0" w:color="auto"/>
            <w:bottom w:val="none" w:sz="0" w:space="0" w:color="auto"/>
            <w:right w:val="none" w:sz="0" w:space="0" w:color="auto"/>
          </w:divBdr>
        </w:div>
        <w:div w:id="773210437">
          <w:marLeft w:val="0"/>
          <w:marRight w:val="0"/>
          <w:marTop w:val="0"/>
          <w:marBottom w:val="0"/>
          <w:divBdr>
            <w:top w:val="none" w:sz="0" w:space="0" w:color="auto"/>
            <w:left w:val="none" w:sz="0" w:space="0" w:color="auto"/>
            <w:bottom w:val="none" w:sz="0" w:space="0" w:color="auto"/>
            <w:right w:val="none" w:sz="0" w:space="0" w:color="auto"/>
          </w:divBdr>
        </w:div>
        <w:div w:id="112871834">
          <w:marLeft w:val="0"/>
          <w:marRight w:val="0"/>
          <w:marTop w:val="0"/>
          <w:marBottom w:val="0"/>
          <w:divBdr>
            <w:top w:val="none" w:sz="0" w:space="0" w:color="auto"/>
            <w:left w:val="none" w:sz="0" w:space="0" w:color="auto"/>
            <w:bottom w:val="none" w:sz="0" w:space="0" w:color="auto"/>
            <w:right w:val="none" w:sz="0" w:space="0" w:color="auto"/>
          </w:divBdr>
        </w:div>
        <w:div w:id="834995702">
          <w:marLeft w:val="0"/>
          <w:marRight w:val="0"/>
          <w:marTop w:val="0"/>
          <w:marBottom w:val="0"/>
          <w:divBdr>
            <w:top w:val="none" w:sz="0" w:space="0" w:color="auto"/>
            <w:left w:val="none" w:sz="0" w:space="0" w:color="auto"/>
            <w:bottom w:val="none" w:sz="0" w:space="0" w:color="auto"/>
            <w:right w:val="none" w:sz="0" w:space="0" w:color="auto"/>
          </w:divBdr>
        </w:div>
        <w:div w:id="884148091">
          <w:marLeft w:val="0"/>
          <w:marRight w:val="0"/>
          <w:marTop w:val="0"/>
          <w:marBottom w:val="0"/>
          <w:divBdr>
            <w:top w:val="none" w:sz="0" w:space="0" w:color="auto"/>
            <w:left w:val="none" w:sz="0" w:space="0" w:color="auto"/>
            <w:bottom w:val="none" w:sz="0" w:space="0" w:color="auto"/>
            <w:right w:val="none" w:sz="0" w:space="0" w:color="auto"/>
          </w:divBdr>
        </w:div>
        <w:div w:id="394158534">
          <w:marLeft w:val="0"/>
          <w:marRight w:val="0"/>
          <w:marTop w:val="480"/>
          <w:marBottom w:val="480"/>
          <w:divBdr>
            <w:top w:val="none" w:sz="0" w:space="0" w:color="auto"/>
            <w:left w:val="none" w:sz="0" w:space="0" w:color="auto"/>
            <w:bottom w:val="none" w:sz="0" w:space="0" w:color="auto"/>
            <w:right w:val="none" w:sz="0" w:space="0" w:color="auto"/>
          </w:divBdr>
        </w:div>
      </w:divsChild>
    </w:div>
    <w:div w:id="445196890">
      <w:bodyDiv w:val="1"/>
      <w:marLeft w:val="0"/>
      <w:marRight w:val="0"/>
      <w:marTop w:val="0"/>
      <w:marBottom w:val="0"/>
      <w:divBdr>
        <w:top w:val="none" w:sz="0" w:space="0" w:color="auto"/>
        <w:left w:val="none" w:sz="0" w:space="0" w:color="auto"/>
        <w:bottom w:val="none" w:sz="0" w:space="0" w:color="auto"/>
        <w:right w:val="none" w:sz="0" w:space="0" w:color="auto"/>
      </w:divBdr>
      <w:divsChild>
        <w:div w:id="580725699">
          <w:marLeft w:val="0"/>
          <w:marRight w:val="0"/>
          <w:marTop w:val="0"/>
          <w:marBottom w:val="0"/>
          <w:divBdr>
            <w:top w:val="none" w:sz="0" w:space="0" w:color="auto"/>
            <w:left w:val="none" w:sz="0" w:space="0" w:color="auto"/>
            <w:bottom w:val="none" w:sz="0" w:space="0" w:color="auto"/>
            <w:right w:val="none" w:sz="0" w:space="0" w:color="auto"/>
          </w:divBdr>
        </w:div>
        <w:div w:id="1612395602">
          <w:marLeft w:val="0"/>
          <w:marRight w:val="0"/>
          <w:marTop w:val="0"/>
          <w:marBottom w:val="0"/>
          <w:divBdr>
            <w:top w:val="none" w:sz="0" w:space="0" w:color="auto"/>
            <w:left w:val="none" w:sz="0" w:space="0" w:color="auto"/>
            <w:bottom w:val="none" w:sz="0" w:space="0" w:color="auto"/>
            <w:right w:val="none" w:sz="0" w:space="0" w:color="auto"/>
          </w:divBdr>
        </w:div>
        <w:div w:id="1224634122">
          <w:marLeft w:val="0"/>
          <w:marRight w:val="0"/>
          <w:marTop w:val="0"/>
          <w:marBottom w:val="0"/>
          <w:divBdr>
            <w:top w:val="none" w:sz="0" w:space="0" w:color="auto"/>
            <w:left w:val="none" w:sz="0" w:space="0" w:color="auto"/>
            <w:bottom w:val="none" w:sz="0" w:space="0" w:color="auto"/>
            <w:right w:val="none" w:sz="0" w:space="0" w:color="auto"/>
          </w:divBdr>
        </w:div>
        <w:div w:id="1793212487">
          <w:marLeft w:val="0"/>
          <w:marRight w:val="0"/>
          <w:marTop w:val="0"/>
          <w:marBottom w:val="0"/>
          <w:divBdr>
            <w:top w:val="none" w:sz="0" w:space="0" w:color="auto"/>
            <w:left w:val="none" w:sz="0" w:space="0" w:color="auto"/>
            <w:bottom w:val="none" w:sz="0" w:space="0" w:color="auto"/>
            <w:right w:val="none" w:sz="0" w:space="0" w:color="auto"/>
          </w:divBdr>
        </w:div>
        <w:div w:id="1913810984">
          <w:marLeft w:val="0"/>
          <w:marRight w:val="0"/>
          <w:marTop w:val="0"/>
          <w:marBottom w:val="0"/>
          <w:divBdr>
            <w:top w:val="none" w:sz="0" w:space="0" w:color="auto"/>
            <w:left w:val="none" w:sz="0" w:space="0" w:color="auto"/>
            <w:bottom w:val="none" w:sz="0" w:space="0" w:color="auto"/>
            <w:right w:val="none" w:sz="0" w:space="0" w:color="auto"/>
          </w:divBdr>
        </w:div>
        <w:div w:id="1281182781">
          <w:marLeft w:val="0"/>
          <w:marRight w:val="0"/>
          <w:marTop w:val="0"/>
          <w:marBottom w:val="0"/>
          <w:divBdr>
            <w:top w:val="none" w:sz="0" w:space="0" w:color="auto"/>
            <w:left w:val="none" w:sz="0" w:space="0" w:color="auto"/>
            <w:bottom w:val="none" w:sz="0" w:space="0" w:color="auto"/>
            <w:right w:val="none" w:sz="0" w:space="0" w:color="auto"/>
          </w:divBdr>
        </w:div>
        <w:div w:id="1865942157">
          <w:marLeft w:val="0"/>
          <w:marRight w:val="0"/>
          <w:marTop w:val="0"/>
          <w:marBottom w:val="0"/>
          <w:divBdr>
            <w:top w:val="none" w:sz="0" w:space="0" w:color="auto"/>
            <w:left w:val="none" w:sz="0" w:space="0" w:color="auto"/>
            <w:bottom w:val="none" w:sz="0" w:space="0" w:color="auto"/>
            <w:right w:val="none" w:sz="0" w:space="0" w:color="auto"/>
          </w:divBdr>
        </w:div>
      </w:divsChild>
    </w:div>
    <w:div w:id="20253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to-value-your-imports-for-customs-duty-and-trade-statistics" TargetMode="External"/><Relationship Id="rId3" Type="http://schemas.openxmlformats.org/officeDocument/2006/relationships/settings" Target="settings.xml"/><Relationship Id="rId7" Type="http://schemas.openxmlformats.org/officeDocument/2006/relationships/hyperlink" Target="https://www.gov.uk/trade-tari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government-accelerates-border-planning-for-the-end-of-the-transition-period"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ov.uk/government/news/new-measures-to-support-customs-intermediaries?utm_source=5ca3bfd2-e833-4e86-8350-831e46b630e9&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hyperlink" Target="https://www.gov.uk/government/news/new-measures-to-support-customs-intermediaries?utm_source=5ca3bfd2-e833-4e86-8350-831e46b630e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Smyth</dc:creator>
  <cp:keywords/>
  <dc:description/>
  <cp:lastModifiedBy>Ryan Denston</cp:lastModifiedBy>
  <cp:revision>3</cp:revision>
  <dcterms:created xsi:type="dcterms:W3CDTF">2020-06-15T08:42:00Z</dcterms:created>
  <dcterms:modified xsi:type="dcterms:W3CDTF">2020-06-15T08:44:00Z</dcterms:modified>
</cp:coreProperties>
</file>